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B8334" w14:textId="6CE149BF" w:rsidR="00D85241" w:rsidRPr="006D409C" w:rsidRDefault="00D85241" w:rsidP="00D85241">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DB7D1A" w:rsidRPr="00DB7D1A">
        <w:rPr>
          <w:rFonts w:cs="Arial"/>
          <w:sz w:val="24"/>
          <w:szCs w:val="24"/>
        </w:rPr>
        <w:t>R4-2404361</w:t>
      </w:r>
    </w:p>
    <w:p w14:paraId="099565D8" w14:textId="77777777" w:rsidR="00D85241" w:rsidRDefault="00D85241" w:rsidP="00D85241">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p w14:paraId="0ED85814" w14:textId="77777777" w:rsidR="00AA7B46" w:rsidRPr="00AA7B46" w:rsidRDefault="00AA7B46" w:rsidP="0007645A">
      <w:pPr>
        <w:rPr>
          <w:rFonts w:ascii="Arial" w:eastAsia="SimSun" w:hAnsi="Arial" w:cs="Arial"/>
          <w:b/>
          <w:noProof/>
        </w:rPr>
      </w:pPr>
    </w:p>
    <w:p w14:paraId="038E9536" w14:textId="0005224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D85241">
        <w:rPr>
          <w:rFonts w:ascii="Arial" w:hAnsi="Arial" w:cs="Arial"/>
          <w:b/>
          <w:sz w:val="22"/>
          <w:szCs w:val="22"/>
        </w:rPr>
        <w:t>6</w:t>
      </w:r>
      <w:r w:rsidR="00436451">
        <w:rPr>
          <w:rFonts w:ascii="Arial" w:hAnsi="Arial" w:cs="Arial"/>
          <w:b/>
          <w:sz w:val="22"/>
          <w:szCs w:val="22"/>
        </w:rPr>
        <w:t>.</w:t>
      </w:r>
      <w:r w:rsidR="00EC4202">
        <w:rPr>
          <w:rFonts w:ascii="Arial" w:hAnsi="Arial" w:cs="Arial"/>
          <w:b/>
          <w:sz w:val="22"/>
          <w:szCs w:val="22"/>
        </w:rPr>
        <w:t>1</w:t>
      </w:r>
      <w:r w:rsidR="00D85241">
        <w:rPr>
          <w:rFonts w:ascii="Arial" w:hAnsi="Arial" w:cs="Arial"/>
          <w:b/>
          <w:sz w:val="22"/>
          <w:szCs w:val="22"/>
        </w:rPr>
        <w:t>6</w:t>
      </w:r>
      <w:r w:rsidR="0012561B">
        <w:rPr>
          <w:rFonts w:ascii="Arial" w:hAnsi="Arial" w:cs="Arial"/>
          <w:b/>
          <w:sz w:val="22"/>
          <w:szCs w:val="22"/>
        </w:rPr>
        <w:t>.</w:t>
      </w:r>
      <w:r w:rsidR="00147282">
        <w:rPr>
          <w:rFonts w:ascii="Arial" w:hAnsi="Arial" w:cs="Arial"/>
          <w:b/>
          <w:sz w:val="22"/>
          <w:szCs w:val="22"/>
        </w:rPr>
        <w:t>6</w:t>
      </w:r>
      <w:r w:rsidR="00ED08A2">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C682A6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D08A2" w:rsidRPr="00ED08A2">
        <w:rPr>
          <w:rFonts w:ascii="Arial" w:hAnsi="Arial" w:cs="Arial"/>
          <w:b/>
          <w:sz w:val="22"/>
          <w:szCs w:val="22"/>
        </w:rPr>
        <w:t xml:space="preserve">On mobility and service continuity for </w:t>
      </w:r>
      <w:proofErr w:type="spellStart"/>
      <w:r w:rsidR="00ED08A2" w:rsidRPr="00ED08A2">
        <w:rPr>
          <w:rFonts w:ascii="Arial" w:hAnsi="Arial" w:cs="Arial"/>
          <w:b/>
          <w:sz w:val="22"/>
          <w:szCs w:val="22"/>
        </w:rPr>
        <w:t>eNTN</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5EA55A66" w14:textId="41B46660" w:rsidR="00ED08A2" w:rsidRDefault="001F65D9" w:rsidP="00BE397A">
      <w:pPr>
        <w:spacing w:after="120"/>
        <w:jc w:val="both"/>
      </w:pPr>
      <w:r>
        <w:rPr>
          <w:rFonts w:hint="eastAsia"/>
        </w:rPr>
        <w:t>In</w:t>
      </w:r>
      <w:r>
        <w:t xml:space="preserve"> RAN4#</w:t>
      </w:r>
      <w:r w:rsidR="00ED08A2">
        <w:t>1</w:t>
      </w:r>
      <w:r w:rsidR="00D85241">
        <w:t>10</w:t>
      </w:r>
      <w:r>
        <w:t xml:space="preserve"> meeting, the RRM impacts of </w:t>
      </w:r>
      <w:proofErr w:type="spellStart"/>
      <w:r>
        <w:t>eNTN</w:t>
      </w:r>
      <w:proofErr w:type="spellEnd"/>
      <w:r>
        <w:t xml:space="preserve"> have been discussed and WF was agreed in [1]</w:t>
      </w:r>
      <w:r w:rsidR="00ED08A2" w:rsidRPr="007362B7">
        <w:t xml:space="preserve">, and there are still some open issues </w:t>
      </w:r>
      <w:r w:rsidR="007362B7" w:rsidRPr="007362B7">
        <w:t>to be addressed.</w:t>
      </w:r>
      <w:r>
        <w:t xml:space="preserve"> </w:t>
      </w:r>
      <w:r w:rsidR="00ED08A2">
        <w:t xml:space="preserve">In this contribution we continue the discussion about the enhancement on </w:t>
      </w:r>
      <w:r w:rsidR="00ED08A2" w:rsidRPr="00ED08A2">
        <w:t xml:space="preserve">mobility and service continuity </w:t>
      </w:r>
      <w:r w:rsidR="00ED08A2">
        <w:t xml:space="preserve">for the </w:t>
      </w:r>
      <w:proofErr w:type="spellStart"/>
      <w:r w:rsidR="00ED08A2">
        <w:t>eNTN</w:t>
      </w:r>
      <w:proofErr w:type="spellEnd"/>
      <w:r w:rsidR="00ED08A2">
        <w:t xml:space="preserve"> UE.</w:t>
      </w:r>
    </w:p>
    <w:p w14:paraId="5C9C7CB3" w14:textId="47639B29" w:rsidR="008B21BE" w:rsidRDefault="00454332" w:rsidP="008B21BE">
      <w:pPr>
        <w:pStyle w:val="Heading1"/>
        <w:numPr>
          <w:ilvl w:val="0"/>
          <w:numId w:val="10"/>
        </w:numPr>
        <w:pBdr>
          <w:top w:val="single" w:sz="12" w:space="2" w:color="auto"/>
        </w:pBdr>
        <w:jc w:val="both"/>
        <w:rPr>
          <w:sz w:val="32"/>
          <w:lang w:val="en-US"/>
        </w:rPr>
      </w:pPr>
      <w:r w:rsidRPr="00454332">
        <w:rPr>
          <w:sz w:val="32"/>
          <w:lang w:val="en-US"/>
        </w:rPr>
        <w:t>Idle/Inactive mode mobility enhancements</w:t>
      </w:r>
    </w:p>
    <w:p w14:paraId="4055B9EE" w14:textId="483866D1" w:rsidR="0097762D" w:rsidRDefault="0097762D" w:rsidP="0097762D">
      <w:r>
        <w:rPr>
          <w:rFonts w:hint="eastAsia"/>
        </w:rPr>
        <w:t>For</w:t>
      </w:r>
      <w:r>
        <w:t xml:space="preserve"> TN-to-NTN cell reselection, the </w:t>
      </w:r>
      <w:r w:rsidR="00EB683A">
        <w:t>agreements</w:t>
      </w:r>
      <w:r>
        <w:t xml:space="preserve"> from last meeting were:</w:t>
      </w:r>
    </w:p>
    <w:tbl>
      <w:tblPr>
        <w:tblStyle w:val="TableGrid"/>
        <w:tblW w:w="0" w:type="auto"/>
        <w:tblLook w:val="04A0" w:firstRow="1" w:lastRow="0" w:firstColumn="1" w:lastColumn="0" w:noHBand="0" w:noVBand="1"/>
      </w:tblPr>
      <w:tblGrid>
        <w:gridCol w:w="9629"/>
      </w:tblGrid>
      <w:tr w:rsidR="0097762D" w14:paraId="7A838898" w14:textId="77777777" w:rsidTr="0097762D">
        <w:tc>
          <w:tcPr>
            <w:tcW w:w="9629" w:type="dxa"/>
          </w:tcPr>
          <w:p w14:paraId="6E9B9DCF" w14:textId="77777777" w:rsidR="000B431D" w:rsidRPr="000B431D" w:rsidRDefault="000B431D" w:rsidP="000B431D">
            <w:pPr>
              <w:spacing w:before="0" w:beforeAutospacing="0" w:after="0"/>
              <w:outlineLvl w:val="2"/>
              <w:rPr>
                <w:b/>
                <w:sz w:val="20"/>
                <w:szCs w:val="20"/>
                <w:u w:val="single"/>
                <w:lang w:eastAsia="ko-KR"/>
              </w:rPr>
            </w:pPr>
            <w:bookmarkStart w:id="3" w:name="_Hlk147849822"/>
            <w:r w:rsidRPr="000B431D">
              <w:rPr>
                <w:b/>
                <w:sz w:val="20"/>
                <w:szCs w:val="20"/>
                <w:u w:val="single"/>
                <w:lang w:eastAsia="ko-KR"/>
              </w:rPr>
              <w:t>Issue 4-1: TN to NTN cell reselection</w:t>
            </w:r>
          </w:p>
          <w:p w14:paraId="63020436" w14:textId="77777777" w:rsidR="000B431D" w:rsidRPr="000B431D" w:rsidRDefault="000B431D" w:rsidP="000B431D">
            <w:pPr>
              <w:spacing w:before="0" w:beforeAutospacing="0" w:after="0"/>
              <w:ind w:firstLine="284"/>
              <w:rPr>
                <w:b/>
                <w:bCs/>
                <w:sz w:val="20"/>
                <w:szCs w:val="20"/>
                <w:highlight w:val="green"/>
                <w:u w:val="single"/>
                <w:lang w:eastAsia="ja-JP"/>
              </w:rPr>
            </w:pPr>
            <w:bookmarkStart w:id="4" w:name="_Hlk151026905"/>
            <w:bookmarkEnd w:id="3"/>
            <w:r w:rsidRPr="000B431D">
              <w:rPr>
                <w:b/>
                <w:bCs/>
                <w:sz w:val="20"/>
                <w:szCs w:val="20"/>
                <w:highlight w:val="green"/>
                <w:u w:val="single"/>
                <w:lang w:eastAsia="ja-JP"/>
              </w:rPr>
              <w:t>Agreement: (ad-hoc agreement)</w:t>
            </w:r>
          </w:p>
          <w:bookmarkEnd w:id="4"/>
          <w:p w14:paraId="5F6868C0" w14:textId="77777777" w:rsidR="000B431D" w:rsidRPr="000B431D" w:rsidRDefault="000B431D" w:rsidP="000B431D">
            <w:pPr>
              <w:pStyle w:val="ListParagraph"/>
              <w:widowControl/>
              <w:numPr>
                <w:ilvl w:val="0"/>
                <w:numId w:val="45"/>
              </w:numPr>
              <w:spacing w:before="0" w:beforeAutospacing="0" w:after="0" w:line="240" w:lineRule="auto"/>
              <w:ind w:firstLineChars="0"/>
              <w:rPr>
                <w:sz w:val="20"/>
                <w:szCs w:val="20"/>
                <w:lang w:eastAsia="ja-JP"/>
              </w:rPr>
            </w:pPr>
            <w:r w:rsidRPr="000B431D">
              <w:rPr>
                <w:sz w:val="20"/>
                <w:szCs w:val="20"/>
                <w:lang w:eastAsia="ja-JP"/>
              </w:rPr>
              <w:t>Requirement applicability</w:t>
            </w:r>
          </w:p>
          <w:p w14:paraId="4387857C" w14:textId="77777777" w:rsidR="000B431D" w:rsidRPr="000B431D" w:rsidRDefault="000B431D" w:rsidP="000B431D">
            <w:pPr>
              <w:pStyle w:val="ListParagraph"/>
              <w:widowControl/>
              <w:numPr>
                <w:ilvl w:val="1"/>
                <w:numId w:val="45"/>
              </w:numPr>
              <w:spacing w:before="0" w:beforeAutospacing="0" w:after="0" w:line="240" w:lineRule="auto"/>
              <w:ind w:left="1364" w:firstLineChars="0"/>
              <w:rPr>
                <w:sz w:val="20"/>
                <w:szCs w:val="20"/>
                <w:lang w:eastAsia="ja-JP"/>
              </w:rPr>
            </w:pPr>
            <w:r w:rsidRPr="000B431D">
              <w:rPr>
                <w:sz w:val="20"/>
                <w:szCs w:val="20"/>
                <w:lang w:eastAsia="ja-JP"/>
              </w:rPr>
              <w:t>Only inter-frequency cell reselection from TN to NTN only in FR1-NTN</w:t>
            </w:r>
          </w:p>
          <w:p w14:paraId="4118C9ED" w14:textId="77777777" w:rsidR="000B431D" w:rsidRPr="000B431D" w:rsidRDefault="000B431D" w:rsidP="000B431D">
            <w:pPr>
              <w:pStyle w:val="ListParagraph"/>
              <w:widowControl/>
              <w:numPr>
                <w:ilvl w:val="1"/>
                <w:numId w:val="45"/>
              </w:numPr>
              <w:spacing w:before="0" w:beforeAutospacing="0" w:after="0" w:line="240" w:lineRule="auto"/>
              <w:ind w:left="1364" w:firstLineChars="0"/>
              <w:rPr>
                <w:sz w:val="20"/>
                <w:szCs w:val="20"/>
                <w:lang w:eastAsia="ja-JP"/>
              </w:rPr>
            </w:pPr>
            <w:r w:rsidRPr="000B431D">
              <w:rPr>
                <w:sz w:val="20"/>
                <w:szCs w:val="20"/>
                <w:lang w:eastAsia="ja-JP"/>
              </w:rPr>
              <w:t>Timer-based measurement triggering parts not applicable for cell reselection from TN to NTN</w:t>
            </w:r>
          </w:p>
          <w:p w14:paraId="6F0767CE" w14:textId="77777777" w:rsidR="000B431D" w:rsidRPr="000B431D" w:rsidRDefault="000B431D" w:rsidP="000B431D">
            <w:pPr>
              <w:pStyle w:val="ListParagraph"/>
              <w:widowControl/>
              <w:numPr>
                <w:ilvl w:val="1"/>
                <w:numId w:val="45"/>
              </w:numPr>
              <w:spacing w:before="0" w:beforeAutospacing="0" w:after="0" w:line="240" w:lineRule="auto"/>
              <w:ind w:left="1364" w:firstLineChars="0"/>
              <w:rPr>
                <w:sz w:val="20"/>
                <w:szCs w:val="20"/>
                <w:lang w:eastAsia="ja-JP"/>
              </w:rPr>
            </w:pPr>
            <w:r w:rsidRPr="000B431D">
              <w:rPr>
                <w:sz w:val="20"/>
                <w:szCs w:val="20"/>
                <w:lang w:eastAsia="ja-JP"/>
              </w:rPr>
              <w:t>The requirements apply provided that UE has valid SIB19</w:t>
            </w:r>
          </w:p>
          <w:p w14:paraId="0A263A75" w14:textId="77777777" w:rsidR="000B431D" w:rsidRPr="000B431D" w:rsidRDefault="000B431D" w:rsidP="000B431D">
            <w:pPr>
              <w:pStyle w:val="ListParagraph"/>
              <w:widowControl/>
              <w:numPr>
                <w:ilvl w:val="1"/>
                <w:numId w:val="45"/>
              </w:numPr>
              <w:spacing w:before="0" w:beforeAutospacing="0" w:after="0" w:line="240" w:lineRule="auto"/>
              <w:ind w:left="1364" w:firstLineChars="0"/>
              <w:rPr>
                <w:sz w:val="20"/>
                <w:szCs w:val="20"/>
                <w:lang w:eastAsia="ja-JP"/>
              </w:rPr>
            </w:pPr>
            <w:r w:rsidRPr="000B431D">
              <w:rPr>
                <w:sz w:val="20"/>
                <w:szCs w:val="20"/>
                <w:lang w:eastAsia="ja-JP"/>
              </w:rPr>
              <w:t>UE is not required to ensure having a valid version of SIB19 and the exact time of reacquiring SIB19 is up to UE implementation.</w:t>
            </w:r>
          </w:p>
          <w:p w14:paraId="779D4E47" w14:textId="77777777" w:rsidR="000B431D" w:rsidRPr="000B431D" w:rsidRDefault="000B431D" w:rsidP="000B431D">
            <w:pPr>
              <w:spacing w:before="0" w:beforeAutospacing="0" w:after="0"/>
              <w:ind w:firstLine="284"/>
              <w:rPr>
                <w:b/>
                <w:bCs/>
                <w:sz w:val="20"/>
                <w:szCs w:val="20"/>
                <w:highlight w:val="green"/>
                <w:u w:val="single"/>
                <w:lang w:eastAsia="ja-JP"/>
              </w:rPr>
            </w:pPr>
            <w:r w:rsidRPr="000B431D">
              <w:rPr>
                <w:b/>
                <w:bCs/>
                <w:sz w:val="20"/>
                <w:szCs w:val="20"/>
                <w:highlight w:val="green"/>
                <w:u w:val="single"/>
                <w:lang w:eastAsia="ja-JP"/>
              </w:rPr>
              <w:t xml:space="preserve">Online Agreement: </w:t>
            </w:r>
          </w:p>
          <w:p w14:paraId="68D0E756" w14:textId="77777777" w:rsidR="000B431D" w:rsidRPr="000B431D" w:rsidRDefault="000B431D" w:rsidP="000B431D">
            <w:pPr>
              <w:pStyle w:val="ListParagraph"/>
              <w:widowControl/>
              <w:numPr>
                <w:ilvl w:val="0"/>
                <w:numId w:val="45"/>
              </w:numPr>
              <w:spacing w:before="0" w:beforeAutospacing="0" w:after="0" w:line="240" w:lineRule="auto"/>
              <w:ind w:firstLineChars="0"/>
              <w:rPr>
                <w:sz w:val="20"/>
                <w:szCs w:val="20"/>
                <w:lang w:eastAsia="ja-JP"/>
              </w:rPr>
            </w:pPr>
            <w:r w:rsidRPr="000B431D">
              <w:rPr>
                <w:sz w:val="20"/>
                <w:szCs w:val="20"/>
                <w:lang w:eastAsia="ja-JP"/>
              </w:rPr>
              <w:t>Measurement requirements on inter-frequency cell reselection from NR TN to NTN</w:t>
            </w:r>
          </w:p>
          <w:p w14:paraId="3147BD83" w14:textId="77777777" w:rsidR="000B431D" w:rsidRPr="000B431D" w:rsidRDefault="000B431D" w:rsidP="000B431D">
            <w:pPr>
              <w:pStyle w:val="ListParagraph"/>
              <w:widowControl/>
              <w:numPr>
                <w:ilvl w:val="3"/>
                <w:numId w:val="61"/>
              </w:numPr>
              <w:spacing w:before="0" w:beforeAutospacing="0" w:after="0" w:line="240" w:lineRule="auto"/>
              <w:ind w:left="1440" w:firstLineChars="0" w:hanging="450"/>
              <w:jc w:val="both"/>
              <w:rPr>
                <w:rFonts w:eastAsia="DengXian"/>
                <w:sz w:val="20"/>
                <w:szCs w:val="20"/>
                <w:lang w:val="en-US" w:eastAsia="zh-CN"/>
              </w:rPr>
            </w:pPr>
            <w:proofErr w:type="spellStart"/>
            <w:r w:rsidRPr="000B431D">
              <w:rPr>
                <w:rFonts w:eastAsia="DengXian"/>
                <w:sz w:val="20"/>
                <w:szCs w:val="20"/>
                <w:lang w:val="en-US" w:eastAsia="zh-CN"/>
              </w:rPr>
              <w:t>K</w:t>
            </w:r>
            <w:r w:rsidRPr="000B431D">
              <w:rPr>
                <w:rFonts w:eastAsia="DengXian"/>
                <w:sz w:val="20"/>
                <w:szCs w:val="20"/>
                <w:vertAlign w:val="subscript"/>
                <w:lang w:val="en-US" w:eastAsia="zh-CN"/>
              </w:rPr>
              <w:t>carrier_TN</w:t>
            </w:r>
            <w:proofErr w:type="spellEnd"/>
            <w:r w:rsidRPr="000B431D">
              <w:rPr>
                <w:rFonts w:eastAsia="DengXian"/>
                <w:sz w:val="20"/>
                <w:szCs w:val="20"/>
                <w:lang w:val="en-US" w:eastAsia="zh-CN"/>
              </w:rPr>
              <w:t xml:space="preserve"> * </w:t>
            </w:r>
            <w:proofErr w:type="spellStart"/>
            <w:r w:rsidRPr="000B431D">
              <w:rPr>
                <w:rFonts w:eastAsia="DengXian"/>
                <w:sz w:val="20"/>
                <w:szCs w:val="20"/>
                <w:lang w:val="en-US" w:eastAsia="zh-CN"/>
              </w:rPr>
              <w:t>T</w:t>
            </w:r>
            <w:r w:rsidRPr="000B431D">
              <w:rPr>
                <w:rFonts w:eastAsia="DengXian"/>
                <w:sz w:val="20"/>
                <w:szCs w:val="20"/>
                <w:vertAlign w:val="subscript"/>
                <w:lang w:val="en-US" w:eastAsia="zh-CN"/>
              </w:rPr>
              <w:t>detect</w:t>
            </w:r>
            <w:proofErr w:type="spellEnd"/>
            <w:r w:rsidRPr="000B431D">
              <w:rPr>
                <w:rFonts w:eastAsia="DengXian"/>
                <w:sz w:val="20"/>
                <w:szCs w:val="20"/>
                <w:vertAlign w:val="subscript"/>
                <w:lang w:val="en-US" w:eastAsia="zh-CN"/>
              </w:rPr>
              <w:t>/measure/</w:t>
            </w:r>
            <w:proofErr w:type="spellStart"/>
            <w:r w:rsidRPr="000B431D">
              <w:rPr>
                <w:rFonts w:eastAsia="DengXian"/>
                <w:sz w:val="20"/>
                <w:szCs w:val="20"/>
                <w:vertAlign w:val="subscript"/>
                <w:lang w:val="en-US" w:eastAsia="zh-CN"/>
              </w:rPr>
              <w:t>evaluate,NR_Inter_TN</w:t>
            </w:r>
            <w:proofErr w:type="spellEnd"/>
            <w:r w:rsidRPr="000B431D">
              <w:rPr>
                <w:rFonts w:eastAsia="DengXian"/>
                <w:sz w:val="20"/>
                <w:szCs w:val="20"/>
                <w:lang w:val="en-US" w:eastAsia="zh-CN"/>
              </w:rPr>
              <w:t xml:space="preserve"> + </w:t>
            </w:r>
            <m:oMath>
              <m:nary>
                <m:naryPr>
                  <m:chr m:val="∑"/>
                  <m:limLoc m:val="subSup"/>
                  <m:ctrlPr>
                    <w:rPr>
                      <w:rFonts w:ascii="Cambria Math" w:eastAsia="DengXian" w:hAnsi="Cambria Math"/>
                      <w:sz w:val="20"/>
                      <w:szCs w:val="20"/>
                      <w:lang w:val="en-US" w:eastAsia="zh-CN"/>
                    </w:rPr>
                  </m:ctrlPr>
                </m:naryPr>
                <m:sub>
                  <m:r>
                    <m:rPr>
                      <m:sty m:val="p"/>
                    </m:rPr>
                    <w:rPr>
                      <w:rFonts w:ascii="Cambria Math" w:eastAsia="DengXian" w:hAnsi="Cambria Math"/>
                      <w:sz w:val="20"/>
                      <w:szCs w:val="20"/>
                      <w:lang w:val="en-US" w:eastAsia="zh-CN"/>
                    </w:rPr>
                    <m:t>i=1</m:t>
                  </m:r>
                </m:sub>
                <m:sup>
                  <m:sSub>
                    <m:sSubPr>
                      <m:ctrlPr>
                        <w:rPr>
                          <w:rFonts w:ascii="Cambria Math" w:eastAsia="DengXian" w:hAnsi="Cambria Math"/>
                          <w:sz w:val="20"/>
                          <w:szCs w:val="20"/>
                          <w:lang w:val="en-US" w:eastAsia="zh-CN"/>
                        </w:rPr>
                      </m:ctrlPr>
                    </m:sSubPr>
                    <m:e>
                      <m:r>
                        <m:rPr>
                          <m:sty m:val="p"/>
                        </m:rPr>
                        <w:rPr>
                          <w:rFonts w:ascii="Cambria Math" w:eastAsia="DengXian" w:hAnsi="Cambria Math"/>
                          <w:sz w:val="20"/>
                          <w:szCs w:val="20"/>
                          <w:lang w:val="en-US" w:eastAsia="zh-CN"/>
                        </w:rPr>
                        <m:t>K</m:t>
                      </m:r>
                    </m:e>
                    <m:sub>
                      <m:r>
                        <m:rPr>
                          <m:sty m:val="p"/>
                        </m:rPr>
                        <w:rPr>
                          <w:rFonts w:ascii="Cambria Math" w:eastAsia="DengXian" w:hAnsi="Cambria Math"/>
                          <w:sz w:val="20"/>
                          <w:szCs w:val="20"/>
                          <w:lang w:val="en-US" w:eastAsia="zh-CN"/>
                        </w:rPr>
                        <m:t>carrier_NTN</m:t>
                      </m:r>
                    </m:sub>
                  </m:sSub>
                </m:sup>
                <m:e>
                  <m:sSub>
                    <m:sSubPr>
                      <m:ctrlPr>
                        <w:rPr>
                          <w:rFonts w:ascii="Cambria Math" w:eastAsia="DengXian" w:hAnsi="Cambria Math"/>
                          <w:sz w:val="20"/>
                          <w:szCs w:val="20"/>
                          <w:lang w:val="en-US" w:eastAsia="zh-CN"/>
                        </w:rPr>
                      </m:ctrlPr>
                    </m:sSubPr>
                    <m:e>
                      <m:r>
                        <m:rPr>
                          <m:sty m:val="p"/>
                        </m:rPr>
                        <w:rPr>
                          <w:rFonts w:ascii="Cambria Math" w:eastAsia="DengXian" w:hAnsi="Cambria Math"/>
                          <w:sz w:val="20"/>
                          <w:szCs w:val="20"/>
                          <w:lang w:val="en-US" w:eastAsia="zh-CN"/>
                        </w:rPr>
                        <m:t>K</m:t>
                      </m:r>
                    </m:e>
                    <m:sub>
                      <m:r>
                        <m:rPr>
                          <m:sty m:val="p"/>
                        </m:rPr>
                        <w:rPr>
                          <w:rFonts w:ascii="Cambria Math" w:eastAsia="DengXian" w:hAnsi="Cambria Math"/>
                          <w:sz w:val="20"/>
                          <w:szCs w:val="20"/>
                          <w:lang w:val="en-US" w:eastAsia="zh-CN"/>
                        </w:rPr>
                        <m:t>multi_SMTC,i</m:t>
                      </m:r>
                    </m:sub>
                  </m:sSub>
                  <m:r>
                    <m:rPr>
                      <m:sty m:val="p"/>
                    </m:rPr>
                    <w:rPr>
                      <w:rFonts w:ascii="Cambria Math" w:eastAsia="DengXian" w:hAnsi="Cambria Math"/>
                      <w:sz w:val="20"/>
                      <w:szCs w:val="20"/>
                      <w:lang w:val="en-US" w:eastAsia="zh-CN"/>
                    </w:rPr>
                    <m:t>*</m:t>
                  </m:r>
                  <m:sSub>
                    <m:sSubPr>
                      <m:ctrlPr>
                        <w:rPr>
                          <w:rFonts w:ascii="Cambria Math" w:eastAsia="DengXian" w:hAnsi="Cambria Math"/>
                          <w:sz w:val="20"/>
                          <w:szCs w:val="20"/>
                          <w:lang w:val="en-US" w:eastAsia="zh-CN"/>
                        </w:rPr>
                      </m:ctrlPr>
                    </m:sSubPr>
                    <m:e>
                      <m:r>
                        <m:rPr>
                          <m:sty m:val="p"/>
                        </m:rPr>
                        <w:rPr>
                          <w:rFonts w:ascii="Cambria Math" w:eastAsia="DengXian" w:hAnsi="Cambria Math"/>
                          <w:sz w:val="20"/>
                          <w:szCs w:val="20"/>
                          <w:lang w:val="en-US" w:eastAsia="zh-CN"/>
                        </w:rPr>
                        <m:t>T</m:t>
                      </m:r>
                    </m:e>
                    <m:sub>
                      <m:r>
                        <m:rPr>
                          <m:sty m:val="p"/>
                        </m:rPr>
                        <w:rPr>
                          <w:rFonts w:ascii="Cambria Math" w:eastAsia="DengXian" w:hAnsi="Cambria Math"/>
                          <w:sz w:val="20"/>
                          <w:szCs w:val="20"/>
                          <w:lang w:val="en-US" w:eastAsia="zh-CN"/>
                        </w:rPr>
                        <m:t>detect/measure/evaluate,NR_Inter_NTN</m:t>
                      </m:r>
                    </m:sub>
                  </m:sSub>
                </m:e>
              </m:nary>
            </m:oMath>
            <w:r w:rsidRPr="000B431D">
              <w:rPr>
                <w:rFonts w:eastAsia="DengXian"/>
                <w:sz w:val="20"/>
                <w:szCs w:val="20"/>
                <w:lang w:val="en-US" w:eastAsia="zh-CN"/>
              </w:rPr>
              <w:t xml:space="preserve"> + </w:t>
            </w:r>
            <w:r w:rsidRPr="000B431D">
              <w:rPr>
                <w:sz w:val="20"/>
                <w:szCs w:val="20"/>
                <w:lang w:eastAsia="ja-JP"/>
              </w:rPr>
              <w:t xml:space="preserve">T_GNSS </w:t>
            </w:r>
            <w:r w:rsidRPr="000B431D">
              <w:rPr>
                <w:rFonts w:eastAsia="DengXian"/>
                <w:sz w:val="20"/>
                <w:szCs w:val="20"/>
                <w:lang w:val="en-US" w:eastAsia="zh-CN"/>
              </w:rPr>
              <w:t xml:space="preserve">if the UE does not support the feature for enhanced RRM requirements defined in TS38.306 [14]  or if the enhancedMeasurementLEO-r17 is not enabled, or within </w:t>
            </w:r>
            <w:proofErr w:type="spellStart"/>
            <w:r w:rsidRPr="000B431D">
              <w:rPr>
                <w:rFonts w:eastAsia="DengXian"/>
                <w:sz w:val="20"/>
                <w:szCs w:val="20"/>
                <w:lang w:val="en-US" w:eastAsia="zh-CN"/>
              </w:rPr>
              <w:t>K</w:t>
            </w:r>
            <w:r w:rsidRPr="000B431D">
              <w:rPr>
                <w:rFonts w:eastAsia="DengXian"/>
                <w:sz w:val="20"/>
                <w:szCs w:val="20"/>
                <w:vertAlign w:val="subscript"/>
                <w:lang w:val="en-US" w:eastAsia="zh-CN"/>
              </w:rPr>
              <w:t>carrier_TN</w:t>
            </w:r>
            <w:proofErr w:type="spellEnd"/>
            <w:r w:rsidRPr="000B431D">
              <w:rPr>
                <w:rFonts w:eastAsia="DengXian"/>
                <w:sz w:val="20"/>
                <w:szCs w:val="20"/>
                <w:lang w:val="en-US" w:eastAsia="zh-CN"/>
              </w:rPr>
              <w:t xml:space="preserve"> * </w:t>
            </w:r>
            <w:proofErr w:type="spellStart"/>
            <w:r w:rsidRPr="000B431D">
              <w:rPr>
                <w:rFonts w:eastAsia="DengXian"/>
                <w:sz w:val="20"/>
                <w:szCs w:val="20"/>
                <w:lang w:val="en-US" w:eastAsia="zh-CN"/>
              </w:rPr>
              <w:t>T</w:t>
            </w:r>
            <w:r w:rsidRPr="000B431D">
              <w:rPr>
                <w:rFonts w:eastAsia="DengXian"/>
                <w:sz w:val="20"/>
                <w:szCs w:val="20"/>
                <w:vertAlign w:val="subscript"/>
                <w:lang w:val="en-US" w:eastAsia="zh-CN"/>
              </w:rPr>
              <w:t>detect</w:t>
            </w:r>
            <w:proofErr w:type="spellEnd"/>
            <w:r w:rsidRPr="000B431D">
              <w:rPr>
                <w:rFonts w:eastAsia="DengXian"/>
                <w:sz w:val="20"/>
                <w:szCs w:val="20"/>
                <w:vertAlign w:val="subscript"/>
                <w:lang w:val="en-US" w:eastAsia="zh-CN"/>
              </w:rPr>
              <w:t>/measure/</w:t>
            </w:r>
            <w:proofErr w:type="spellStart"/>
            <w:r w:rsidRPr="000B431D">
              <w:rPr>
                <w:rFonts w:eastAsia="DengXian"/>
                <w:sz w:val="20"/>
                <w:szCs w:val="20"/>
                <w:vertAlign w:val="subscript"/>
                <w:lang w:val="en-US" w:eastAsia="zh-CN"/>
              </w:rPr>
              <w:t>evaluate,NR_Inter_TN</w:t>
            </w:r>
            <w:proofErr w:type="spellEnd"/>
            <w:r w:rsidRPr="000B431D">
              <w:rPr>
                <w:rFonts w:eastAsia="DengXian"/>
                <w:sz w:val="20"/>
                <w:szCs w:val="20"/>
                <w:lang w:val="en-US" w:eastAsia="zh-CN"/>
              </w:rPr>
              <w:t xml:space="preserve"> + </w:t>
            </w:r>
            <m:oMath>
              <m:nary>
                <m:naryPr>
                  <m:chr m:val="∑"/>
                  <m:limLoc m:val="subSup"/>
                  <m:ctrlPr>
                    <w:rPr>
                      <w:rFonts w:ascii="Cambria Math" w:eastAsia="DengXian" w:hAnsi="Cambria Math"/>
                      <w:sz w:val="20"/>
                      <w:szCs w:val="20"/>
                      <w:lang w:val="en-US" w:eastAsia="zh-CN"/>
                    </w:rPr>
                  </m:ctrlPr>
                </m:naryPr>
                <m:sub>
                  <m:r>
                    <m:rPr>
                      <m:sty m:val="p"/>
                    </m:rPr>
                    <w:rPr>
                      <w:rFonts w:ascii="Cambria Math" w:eastAsia="DengXian" w:hAnsi="Cambria Math"/>
                      <w:sz w:val="20"/>
                      <w:szCs w:val="20"/>
                      <w:lang w:val="en-US" w:eastAsia="zh-CN"/>
                    </w:rPr>
                    <m:t>i=1</m:t>
                  </m:r>
                </m:sub>
                <m:sup>
                  <m:sSub>
                    <m:sSubPr>
                      <m:ctrlPr>
                        <w:rPr>
                          <w:rFonts w:ascii="Cambria Math" w:eastAsia="DengXian" w:hAnsi="Cambria Math"/>
                          <w:sz w:val="20"/>
                          <w:szCs w:val="20"/>
                          <w:lang w:val="en-US" w:eastAsia="zh-CN"/>
                        </w:rPr>
                      </m:ctrlPr>
                    </m:sSubPr>
                    <m:e>
                      <m:r>
                        <m:rPr>
                          <m:sty m:val="p"/>
                        </m:rPr>
                        <w:rPr>
                          <w:rFonts w:ascii="Cambria Math" w:eastAsia="DengXian" w:hAnsi="Cambria Math"/>
                          <w:sz w:val="20"/>
                          <w:szCs w:val="20"/>
                          <w:lang w:val="en-US" w:eastAsia="zh-CN"/>
                        </w:rPr>
                        <m:t>K</m:t>
                      </m:r>
                    </m:e>
                    <m:sub>
                      <m:r>
                        <m:rPr>
                          <m:sty m:val="p"/>
                        </m:rPr>
                        <w:rPr>
                          <w:rFonts w:ascii="Cambria Math" w:eastAsia="DengXian" w:hAnsi="Cambria Math"/>
                          <w:sz w:val="20"/>
                          <w:szCs w:val="20"/>
                          <w:lang w:val="en-US" w:eastAsia="zh-CN"/>
                        </w:rPr>
                        <m:t>carrier_NTN</m:t>
                      </m:r>
                    </m:sub>
                  </m:sSub>
                </m:sup>
                <m:e>
                  <m:sSub>
                    <m:sSubPr>
                      <m:ctrlPr>
                        <w:rPr>
                          <w:rFonts w:ascii="Cambria Math" w:eastAsia="DengXian" w:hAnsi="Cambria Math"/>
                          <w:sz w:val="20"/>
                          <w:szCs w:val="20"/>
                          <w:lang w:val="en-US" w:eastAsia="zh-CN"/>
                        </w:rPr>
                      </m:ctrlPr>
                    </m:sSubPr>
                    <m:e>
                      <m:r>
                        <m:rPr>
                          <m:sty m:val="p"/>
                        </m:rPr>
                        <w:rPr>
                          <w:rFonts w:ascii="Cambria Math" w:eastAsia="DengXian" w:hAnsi="Cambria Math"/>
                          <w:sz w:val="20"/>
                          <w:szCs w:val="20"/>
                          <w:lang w:val="en-US" w:eastAsia="zh-CN"/>
                        </w:rPr>
                        <m:t>K</m:t>
                      </m:r>
                    </m:e>
                    <m:sub>
                      <m:r>
                        <m:rPr>
                          <m:sty m:val="p"/>
                        </m:rPr>
                        <w:rPr>
                          <w:rFonts w:ascii="Cambria Math" w:eastAsia="DengXian" w:hAnsi="Cambria Math"/>
                          <w:sz w:val="20"/>
                          <w:szCs w:val="20"/>
                          <w:lang w:val="en-US" w:eastAsia="zh-CN"/>
                        </w:rPr>
                        <m:t>multi_SMTC,i</m:t>
                      </m:r>
                    </m:sub>
                  </m:sSub>
                  <m:r>
                    <m:rPr>
                      <m:sty m:val="p"/>
                    </m:rPr>
                    <w:rPr>
                      <w:rFonts w:ascii="Cambria Math" w:eastAsia="DengXian" w:hAnsi="Cambria Math"/>
                      <w:sz w:val="20"/>
                      <w:szCs w:val="20"/>
                      <w:lang w:val="en-US" w:eastAsia="zh-CN"/>
                    </w:rPr>
                    <m:t>*</m:t>
                  </m:r>
                  <m:sSub>
                    <m:sSubPr>
                      <m:ctrlPr>
                        <w:rPr>
                          <w:rFonts w:ascii="Cambria Math" w:eastAsia="DengXian" w:hAnsi="Cambria Math"/>
                          <w:sz w:val="20"/>
                          <w:szCs w:val="20"/>
                          <w:lang w:val="en-US" w:eastAsia="zh-CN"/>
                        </w:rPr>
                      </m:ctrlPr>
                    </m:sSubPr>
                    <m:e>
                      <m:r>
                        <m:rPr>
                          <m:sty m:val="p"/>
                        </m:rPr>
                        <w:rPr>
                          <w:rFonts w:ascii="Cambria Math" w:eastAsia="DengXian" w:hAnsi="Cambria Math"/>
                          <w:sz w:val="20"/>
                          <w:szCs w:val="20"/>
                          <w:lang w:val="en-US" w:eastAsia="zh-CN"/>
                        </w:rPr>
                        <m:t>T</m:t>
                      </m:r>
                    </m:e>
                    <m:sub>
                      <m:r>
                        <m:rPr>
                          <m:sty m:val="p"/>
                        </m:rPr>
                        <w:rPr>
                          <w:rFonts w:ascii="Cambria Math" w:eastAsia="DengXian" w:hAnsi="Cambria Math"/>
                          <w:sz w:val="20"/>
                          <w:szCs w:val="20"/>
                          <w:lang w:val="en-US" w:eastAsia="zh-CN"/>
                        </w:rPr>
                        <m:t>detect/measure/evaluate,NR_Inter_enh</m:t>
                      </m:r>
                    </m:sub>
                  </m:sSub>
                </m:e>
              </m:nary>
              <m:r>
                <w:rPr>
                  <w:rFonts w:ascii="Cambria Math" w:eastAsia="DengXian" w:hAnsi="Cambria Math"/>
                  <w:sz w:val="20"/>
                  <w:szCs w:val="20"/>
                  <w:lang w:val="en-US" w:eastAsia="zh-CN"/>
                </w:rPr>
                <m:t xml:space="preserve"> </m:t>
              </m:r>
              <m:r>
                <m:rPr>
                  <m:sty m:val="p"/>
                </m:rPr>
                <w:rPr>
                  <w:rFonts w:ascii="Cambria Math" w:eastAsia="DengXian" w:hAnsi="Cambria Math"/>
                  <w:sz w:val="20"/>
                  <w:szCs w:val="20"/>
                  <w:lang w:val="en-US" w:eastAsia="zh-CN"/>
                </w:rPr>
                <m:t xml:space="preserve">+ </m:t>
              </m:r>
              <m:r>
                <m:rPr>
                  <m:sty m:val="p"/>
                </m:rPr>
                <w:rPr>
                  <w:rFonts w:ascii="Cambria Math" w:hAnsi="Cambria Math"/>
                  <w:sz w:val="20"/>
                  <w:szCs w:val="20"/>
                  <w:lang w:eastAsia="ja-JP"/>
                </w:rPr>
                <m:t>T_GNSS</m:t>
              </m:r>
            </m:oMath>
            <w:r w:rsidRPr="000B431D">
              <w:rPr>
                <w:rFonts w:eastAsia="DengXian"/>
                <w:sz w:val="20"/>
                <w:szCs w:val="20"/>
                <w:lang w:val="en-US" w:eastAsia="zh-CN"/>
              </w:rPr>
              <w:t xml:space="preserve"> if the UE supports the feature for enhanced RRM requirements defined in TS38.306 [14]  and the enhancedMeasurementLEO-r17 is enabled.</w:t>
            </w:r>
          </w:p>
          <w:p w14:paraId="283E1A51" w14:textId="77777777" w:rsidR="000B431D" w:rsidRPr="000B431D" w:rsidRDefault="000B431D" w:rsidP="000B431D">
            <w:pPr>
              <w:pStyle w:val="ListParagraph"/>
              <w:widowControl/>
              <w:numPr>
                <w:ilvl w:val="4"/>
                <w:numId w:val="45"/>
              </w:numPr>
              <w:tabs>
                <w:tab w:val="left" w:pos="441"/>
                <w:tab w:val="left" w:pos="1134"/>
              </w:tabs>
              <w:spacing w:before="0" w:beforeAutospacing="0" w:after="0" w:line="240" w:lineRule="auto"/>
              <w:ind w:left="1800" w:firstLineChars="0"/>
              <w:jc w:val="both"/>
              <w:rPr>
                <w:rFonts w:eastAsia="DengXian"/>
                <w:sz w:val="20"/>
                <w:szCs w:val="20"/>
                <w:lang w:val="en-US" w:eastAsia="zh-CN"/>
              </w:rPr>
            </w:pPr>
            <w:r w:rsidRPr="000B431D">
              <w:rPr>
                <w:rFonts w:eastAsia="DengXian"/>
                <w:sz w:val="20"/>
                <w:szCs w:val="20"/>
                <w:lang w:val="en-US" w:eastAsia="zh-CN"/>
              </w:rPr>
              <w:t xml:space="preserve">The parameter </w:t>
            </w:r>
            <w:proofErr w:type="spellStart"/>
            <w:r w:rsidRPr="000B431D">
              <w:rPr>
                <w:rFonts w:eastAsia="DengXian"/>
                <w:sz w:val="20"/>
                <w:szCs w:val="20"/>
                <w:lang w:val="en-US" w:eastAsia="zh-CN"/>
              </w:rPr>
              <w:t>K</w:t>
            </w:r>
            <w:r w:rsidRPr="000B431D">
              <w:rPr>
                <w:rFonts w:eastAsia="DengXian"/>
                <w:sz w:val="20"/>
                <w:szCs w:val="20"/>
                <w:vertAlign w:val="subscript"/>
                <w:lang w:val="en-US" w:eastAsia="zh-CN"/>
              </w:rPr>
              <w:t>carrier_TN</w:t>
            </w:r>
            <w:proofErr w:type="spellEnd"/>
            <w:r w:rsidRPr="000B431D">
              <w:rPr>
                <w:rFonts w:eastAsia="DengXian"/>
                <w:sz w:val="20"/>
                <w:szCs w:val="20"/>
                <w:lang w:val="en-US" w:eastAsia="zh-CN"/>
              </w:rPr>
              <w:t xml:space="preserve"> is the number of NR TN inter-frequency carriers indicated by the serving cell.</w:t>
            </w:r>
          </w:p>
          <w:p w14:paraId="71845317" w14:textId="77777777" w:rsidR="000B431D" w:rsidRPr="000B431D" w:rsidRDefault="000B431D" w:rsidP="000B431D">
            <w:pPr>
              <w:pStyle w:val="ListParagraph"/>
              <w:widowControl/>
              <w:numPr>
                <w:ilvl w:val="4"/>
                <w:numId w:val="45"/>
              </w:numPr>
              <w:tabs>
                <w:tab w:val="left" w:pos="441"/>
                <w:tab w:val="left" w:pos="1134"/>
              </w:tabs>
              <w:spacing w:before="0" w:beforeAutospacing="0" w:after="0" w:line="240" w:lineRule="auto"/>
              <w:ind w:left="1800" w:firstLineChars="0"/>
              <w:jc w:val="both"/>
              <w:rPr>
                <w:rFonts w:eastAsia="DengXian"/>
                <w:sz w:val="20"/>
                <w:szCs w:val="20"/>
                <w:lang w:val="en-US" w:eastAsia="zh-CN"/>
              </w:rPr>
            </w:pPr>
            <w:r w:rsidRPr="000B431D">
              <w:rPr>
                <w:rFonts w:eastAsia="DengXian"/>
                <w:sz w:val="20"/>
                <w:szCs w:val="20"/>
                <w:lang w:val="en-US" w:eastAsia="zh-CN"/>
              </w:rPr>
              <w:t xml:space="preserve">The parameter </w:t>
            </w:r>
            <w:proofErr w:type="spellStart"/>
            <w:r w:rsidRPr="000B431D">
              <w:rPr>
                <w:rFonts w:eastAsia="DengXian"/>
                <w:sz w:val="20"/>
                <w:szCs w:val="20"/>
                <w:lang w:val="en-US" w:eastAsia="zh-CN"/>
              </w:rPr>
              <w:t>K</w:t>
            </w:r>
            <w:r w:rsidRPr="000B431D">
              <w:rPr>
                <w:rFonts w:eastAsia="DengXian"/>
                <w:sz w:val="20"/>
                <w:szCs w:val="20"/>
                <w:vertAlign w:val="subscript"/>
                <w:lang w:val="en-US" w:eastAsia="zh-CN"/>
              </w:rPr>
              <w:t>carrier_NTN</w:t>
            </w:r>
            <w:proofErr w:type="spellEnd"/>
            <w:r w:rsidRPr="000B431D">
              <w:rPr>
                <w:rFonts w:eastAsia="DengXian"/>
                <w:sz w:val="20"/>
                <w:szCs w:val="20"/>
                <w:lang w:val="en-US" w:eastAsia="zh-CN"/>
              </w:rPr>
              <w:t xml:space="preserve"> is the number of NR NTN inter-frequency carriers indicated by the serving cell.</w:t>
            </w:r>
          </w:p>
          <w:p w14:paraId="7C748600" w14:textId="77777777" w:rsidR="000B431D" w:rsidRPr="000B431D" w:rsidRDefault="000B431D" w:rsidP="000B431D">
            <w:pPr>
              <w:pStyle w:val="ListParagraph"/>
              <w:widowControl/>
              <w:numPr>
                <w:ilvl w:val="4"/>
                <w:numId w:val="45"/>
              </w:numPr>
              <w:tabs>
                <w:tab w:val="left" w:pos="441"/>
                <w:tab w:val="left" w:pos="1134"/>
              </w:tabs>
              <w:spacing w:before="0" w:beforeAutospacing="0" w:after="0" w:line="240" w:lineRule="auto"/>
              <w:ind w:left="1800" w:firstLineChars="0"/>
              <w:jc w:val="both"/>
              <w:rPr>
                <w:rFonts w:eastAsia="DengXian"/>
                <w:sz w:val="20"/>
                <w:szCs w:val="20"/>
                <w:lang w:val="en-US" w:eastAsia="zh-CN"/>
              </w:rPr>
            </w:pPr>
            <w:proofErr w:type="spellStart"/>
            <w:r w:rsidRPr="000B431D">
              <w:rPr>
                <w:rFonts w:eastAsia="DengXian"/>
                <w:sz w:val="20"/>
                <w:szCs w:val="20"/>
                <w:lang w:val="en-US" w:eastAsia="zh-CN"/>
              </w:rPr>
              <w:t>T</w:t>
            </w:r>
            <w:r w:rsidRPr="000B431D">
              <w:rPr>
                <w:rFonts w:eastAsia="DengXian"/>
                <w:sz w:val="20"/>
                <w:szCs w:val="20"/>
                <w:vertAlign w:val="subscript"/>
                <w:lang w:val="en-US" w:eastAsia="zh-CN"/>
              </w:rPr>
              <w:t>detect</w:t>
            </w:r>
            <w:proofErr w:type="spellEnd"/>
            <w:r w:rsidRPr="000B431D">
              <w:rPr>
                <w:rFonts w:eastAsia="DengXian"/>
                <w:sz w:val="20"/>
                <w:szCs w:val="20"/>
                <w:vertAlign w:val="subscript"/>
                <w:lang w:val="en-US" w:eastAsia="zh-CN"/>
              </w:rPr>
              <w:t>/measure/</w:t>
            </w:r>
            <w:proofErr w:type="spellStart"/>
            <w:proofErr w:type="gramStart"/>
            <w:r w:rsidRPr="000B431D">
              <w:rPr>
                <w:rFonts w:eastAsia="DengXian"/>
                <w:sz w:val="20"/>
                <w:szCs w:val="20"/>
                <w:vertAlign w:val="subscript"/>
                <w:lang w:val="en-US" w:eastAsia="zh-CN"/>
              </w:rPr>
              <w:t>evaluate,NR</w:t>
            </w:r>
            <w:proofErr w:type="gramEnd"/>
            <w:r w:rsidRPr="000B431D">
              <w:rPr>
                <w:rFonts w:eastAsia="DengXian"/>
                <w:sz w:val="20"/>
                <w:szCs w:val="20"/>
                <w:vertAlign w:val="subscript"/>
                <w:lang w:val="en-US" w:eastAsia="zh-CN"/>
              </w:rPr>
              <w:t>_Inter_TN</w:t>
            </w:r>
            <w:proofErr w:type="spellEnd"/>
            <w:r w:rsidRPr="000B431D">
              <w:rPr>
                <w:rFonts w:eastAsia="DengXian"/>
                <w:sz w:val="20"/>
                <w:szCs w:val="20"/>
                <w:lang w:val="en-US" w:eastAsia="zh-CN"/>
              </w:rPr>
              <w:t xml:space="preserve"> is the NR TN inter-frequency cell re-selection requirement defined in Table 4.2.2.4-1 in TS38.133</w:t>
            </w:r>
          </w:p>
          <w:p w14:paraId="1D459661" w14:textId="77777777" w:rsidR="000B431D" w:rsidRPr="000B431D" w:rsidRDefault="000B431D" w:rsidP="000B431D">
            <w:pPr>
              <w:pStyle w:val="ListParagraph"/>
              <w:widowControl/>
              <w:numPr>
                <w:ilvl w:val="4"/>
                <w:numId w:val="45"/>
              </w:numPr>
              <w:tabs>
                <w:tab w:val="left" w:pos="441"/>
                <w:tab w:val="left" w:pos="1134"/>
              </w:tabs>
              <w:spacing w:before="0" w:beforeAutospacing="0" w:after="0" w:line="240" w:lineRule="auto"/>
              <w:ind w:left="1800" w:firstLineChars="0"/>
              <w:jc w:val="both"/>
              <w:rPr>
                <w:rFonts w:eastAsia="DengXian"/>
                <w:sz w:val="20"/>
                <w:szCs w:val="20"/>
                <w:lang w:val="en-US" w:eastAsia="zh-CN"/>
              </w:rPr>
            </w:pPr>
            <w:proofErr w:type="spellStart"/>
            <w:r w:rsidRPr="000B431D">
              <w:rPr>
                <w:rFonts w:eastAsia="DengXian"/>
                <w:sz w:val="20"/>
                <w:szCs w:val="20"/>
                <w:lang w:val="en-US" w:eastAsia="zh-CN"/>
              </w:rPr>
              <w:t>T</w:t>
            </w:r>
            <w:r w:rsidRPr="000B431D">
              <w:rPr>
                <w:rFonts w:eastAsia="DengXian"/>
                <w:sz w:val="20"/>
                <w:szCs w:val="20"/>
                <w:vertAlign w:val="subscript"/>
                <w:lang w:val="en-US" w:eastAsia="zh-CN"/>
              </w:rPr>
              <w:t>detect</w:t>
            </w:r>
            <w:proofErr w:type="spellEnd"/>
            <w:r w:rsidRPr="000B431D">
              <w:rPr>
                <w:rFonts w:eastAsia="DengXian"/>
                <w:sz w:val="20"/>
                <w:szCs w:val="20"/>
                <w:vertAlign w:val="subscript"/>
                <w:lang w:val="en-US" w:eastAsia="zh-CN"/>
              </w:rPr>
              <w:t>/measure/</w:t>
            </w:r>
            <w:proofErr w:type="spellStart"/>
            <w:proofErr w:type="gramStart"/>
            <w:r w:rsidRPr="000B431D">
              <w:rPr>
                <w:rFonts w:eastAsia="DengXian"/>
                <w:sz w:val="20"/>
                <w:szCs w:val="20"/>
                <w:vertAlign w:val="subscript"/>
                <w:lang w:val="en-US" w:eastAsia="zh-CN"/>
              </w:rPr>
              <w:t>evaluate,NR</w:t>
            </w:r>
            <w:proofErr w:type="gramEnd"/>
            <w:r w:rsidRPr="000B431D">
              <w:rPr>
                <w:rFonts w:eastAsia="DengXian"/>
                <w:sz w:val="20"/>
                <w:szCs w:val="20"/>
                <w:vertAlign w:val="subscript"/>
                <w:lang w:val="en-US" w:eastAsia="zh-CN"/>
              </w:rPr>
              <w:t>_Inter_NTN</w:t>
            </w:r>
            <w:proofErr w:type="spellEnd"/>
            <w:r w:rsidRPr="000B431D">
              <w:rPr>
                <w:rFonts w:eastAsia="DengXian"/>
                <w:sz w:val="20"/>
                <w:szCs w:val="20"/>
                <w:lang w:val="en-US" w:eastAsia="zh-CN"/>
              </w:rPr>
              <w:t xml:space="preserve"> is the NR NTN inter-frequency cell re-selection requirement defined in Table 4.2C.2.4-1 in TS38.133</w:t>
            </w:r>
          </w:p>
          <w:p w14:paraId="11A6BBC4" w14:textId="77777777" w:rsidR="000B431D" w:rsidRPr="000B431D" w:rsidRDefault="000B431D" w:rsidP="000B431D">
            <w:pPr>
              <w:pStyle w:val="ListParagraph"/>
              <w:widowControl/>
              <w:numPr>
                <w:ilvl w:val="1"/>
                <w:numId w:val="45"/>
              </w:numPr>
              <w:spacing w:before="0" w:beforeAutospacing="0" w:after="0" w:line="240" w:lineRule="auto"/>
              <w:ind w:left="1800" w:firstLineChars="0"/>
              <w:rPr>
                <w:sz w:val="20"/>
                <w:szCs w:val="20"/>
                <w:lang w:eastAsia="ja-JP"/>
              </w:rPr>
            </w:pPr>
            <w:r w:rsidRPr="000B431D">
              <w:rPr>
                <w:sz w:val="20"/>
                <w:szCs w:val="20"/>
                <w:lang w:eastAsia="ja-JP"/>
              </w:rPr>
              <w:t>T_GNSS is TTFF (Time To First Fix) of which value is left undefined in RRM spec. If UE GNSS has been switched ON, T_GNSS can be assumed zero.</w:t>
            </w:r>
          </w:p>
          <w:p w14:paraId="447E0E58" w14:textId="77777777" w:rsidR="000B431D" w:rsidRPr="000B431D" w:rsidRDefault="000B431D" w:rsidP="000B431D">
            <w:pPr>
              <w:pStyle w:val="ListParagraph"/>
              <w:widowControl/>
              <w:numPr>
                <w:ilvl w:val="2"/>
                <w:numId w:val="45"/>
              </w:numPr>
              <w:spacing w:before="0" w:beforeAutospacing="0" w:after="0" w:line="240" w:lineRule="auto"/>
              <w:ind w:left="2084" w:firstLineChars="0"/>
              <w:rPr>
                <w:sz w:val="20"/>
                <w:szCs w:val="20"/>
                <w:lang w:eastAsia="ja-JP"/>
              </w:rPr>
            </w:pPr>
            <w:r w:rsidRPr="000B431D">
              <w:rPr>
                <w:sz w:val="20"/>
                <w:szCs w:val="20"/>
                <w:lang w:eastAsia="ja-JP"/>
              </w:rPr>
              <w:t xml:space="preserve">The note below is to be implemented in RRM requirement spec: </w:t>
            </w:r>
          </w:p>
          <w:p w14:paraId="32F90C07" w14:textId="77777777" w:rsidR="000B431D" w:rsidRPr="000B431D" w:rsidRDefault="000B431D" w:rsidP="000B431D">
            <w:pPr>
              <w:pStyle w:val="ListParagraph"/>
              <w:widowControl/>
              <w:numPr>
                <w:ilvl w:val="3"/>
                <w:numId w:val="45"/>
              </w:numPr>
              <w:tabs>
                <w:tab w:val="left" w:pos="1134"/>
              </w:tabs>
              <w:spacing w:before="0" w:beforeAutospacing="0" w:after="0" w:line="240" w:lineRule="auto"/>
              <w:ind w:left="2804" w:firstLineChars="0"/>
              <w:jc w:val="both"/>
              <w:rPr>
                <w:rFonts w:eastAsia="DengXian"/>
                <w:sz w:val="20"/>
                <w:szCs w:val="20"/>
                <w:lang w:val="en-US" w:eastAsia="zh-CN"/>
              </w:rPr>
            </w:pPr>
            <w:r w:rsidRPr="000B431D">
              <w:rPr>
                <w:rFonts w:eastAsia="DengXian"/>
                <w:sz w:val="20"/>
                <w:szCs w:val="20"/>
                <w:lang w:val="en-US" w:eastAsia="zh-CN"/>
              </w:rPr>
              <w:t>the above requirement does not assume UE always performs NTN cell detection/measurement as well as TN cells.</w:t>
            </w:r>
          </w:p>
          <w:p w14:paraId="174F3C04" w14:textId="77777777" w:rsidR="000B431D" w:rsidRPr="000B431D" w:rsidRDefault="000B431D" w:rsidP="000B431D">
            <w:pPr>
              <w:pStyle w:val="ListParagraph"/>
              <w:widowControl/>
              <w:numPr>
                <w:ilvl w:val="0"/>
                <w:numId w:val="45"/>
              </w:numPr>
              <w:spacing w:before="0" w:beforeAutospacing="0" w:after="0" w:line="240" w:lineRule="auto"/>
              <w:ind w:firstLineChars="0"/>
              <w:rPr>
                <w:sz w:val="20"/>
                <w:szCs w:val="20"/>
                <w:lang w:eastAsia="ja-JP"/>
              </w:rPr>
            </w:pPr>
            <w:r w:rsidRPr="000B431D">
              <w:rPr>
                <w:sz w:val="20"/>
                <w:szCs w:val="20"/>
                <w:lang w:eastAsia="ja-JP"/>
              </w:rPr>
              <w:t>Implement the requirements for TN-to-NTN cell reselection in IDLE mode in a new subclause under clause 4.2.</w:t>
            </w:r>
          </w:p>
          <w:p w14:paraId="55BE2644" w14:textId="77777777" w:rsidR="000B431D" w:rsidRPr="000B431D" w:rsidRDefault="000B431D" w:rsidP="000B431D">
            <w:pPr>
              <w:pStyle w:val="ListParagraph"/>
              <w:widowControl/>
              <w:numPr>
                <w:ilvl w:val="0"/>
                <w:numId w:val="45"/>
              </w:numPr>
              <w:spacing w:before="0" w:beforeAutospacing="0" w:after="0" w:line="240" w:lineRule="auto"/>
              <w:ind w:firstLineChars="0"/>
              <w:rPr>
                <w:sz w:val="20"/>
                <w:szCs w:val="20"/>
                <w:highlight w:val="yellow"/>
                <w:lang w:eastAsia="ja-JP"/>
              </w:rPr>
            </w:pPr>
            <w:r w:rsidRPr="000B431D">
              <w:rPr>
                <w:sz w:val="20"/>
                <w:szCs w:val="20"/>
                <w:highlight w:val="yellow"/>
                <w:lang w:eastAsia="ja-JP"/>
              </w:rPr>
              <w:lastRenderedPageBreak/>
              <w:t>FFS how to implement in CR the impact to the TN-to-TN requirement under this scenario in the maintenance phase.</w:t>
            </w:r>
          </w:p>
          <w:p w14:paraId="7ACEDD1C" w14:textId="77777777" w:rsidR="000B431D" w:rsidRPr="000B431D" w:rsidRDefault="000B431D" w:rsidP="000B431D">
            <w:pPr>
              <w:spacing w:before="0" w:beforeAutospacing="0" w:after="0"/>
              <w:ind w:firstLine="284"/>
              <w:rPr>
                <w:b/>
                <w:bCs/>
                <w:sz w:val="20"/>
                <w:szCs w:val="20"/>
                <w:highlight w:val="green"/>
                <w:u w:val="single"/>
                <w:lang w:eastAsia="ja-JP"/>
              </w:rPr>
            </w:pPr>
            <w:r w:rsidRPr="000B431D">
              <w:rPr>
                <w:b/>
                <w:bCs/>
                <w:sz w:val="20"/>
                <w:szCs w:val="20"/>
                <w:highlight w:val="green"/>
                <w:u w:val="single"/>
                <w:lang w:eastAsia="ja-JP"/>
              </w:rPr>
              <w:t xml:space="preserve">Updated agreement on top of </w:t>
            </w:r>
            <w:proofErr w:type="spellStart"/>
            <w:r w:rsidRPr="000B431D">
              <w:rPr>
                <w:b/>
                <w:bCs/>
                <w:sz w:val="20"/>
                <w:szCs w:val="20"/>
                <w:highlight w:val="green"/>
                <w:u w:val="single"/>
                <w:lang w:eastAsia="ja-JP"/>
              </w:rPr>
              <w:t>adhoc</w:t>
            </w:r>
            <w:proofErr w:type="spellEnd"/>
            <w:r w:rsidRPr="000B431D">
              <w:rPr>
                <w:b/>
                <w:bCs/>
                <w:sz w:val="20"/>
                <w:szCs w:val="20"/>
                <w:highlight w:val="green"/>
                <w:u w:val="single"/>
                <w:lang w:eastAsia="ja-JP"/>
              </w:rPr>
              <w:t xml:space="preserve"> agreement:</w:t>
            </w:r>
          </w:p>
          <w:p w14:paraId="1A885076" w14:textId="1E22C7A5" w:rsidR="0097762D" w:rsidRPr="00EB683A" w:rsidRDefault="000B431D" w:rsidP="000B431D">
            <w:pPr>
              <w:pStyle w:val="ListParagraph"/>
              <w:widowControl/>
              <w:numPr>
                <w:ilvl w:val="1"/>
                <w:numId w:val="45"/>
              </w:numPr>
              <w:spacing w:before="0" w:beforeAutospacing="0" w:after="0" w:line="240" w:lineRule="auto"/>
              <w:ind w:left="1364" w:firstLineChars="0"/>
              <w:rPr>
                <w:lang w:eastAsia="ja-JP"/>
              </w:rPr>
            </w:pPr>
            <w:r w:rsidRPr="000B431D">
              <w:rPr>
                <w:sz w:val="20"/>
                <w:szCs w:val="20"/>
                <w:lang w:eastAsia="ja-JP"/>
              </w:rPr>
              <w:t>The requirements apply provided that network provides SIB19. UE is not required to ensure having a valid version of SIB19 and the exact time of reacquiring SIB19 is up to UE implementation.</w:t>
            </w:r>
          </w:p>
        </w:tc>
      </w:tr>
    </w:tbl>
    <w:p w14:paraId="3266B037" w14:textId="332ABC4B" w:rsidR="000B431D" w:rsidRDefault="000B431D" w:rsidP="000B431D">
      <w:pPr>
        <w:jc w:val="both"/>
      </w:pPr>
      <w:r>
        <w:lastRenderedPageBreak/>
        <w:t>In TN-to-NTN</w:t>
      </w:r>
      <w:r w:rsidRPr="000B431D">
        <w:t xml:space="preserve"> </w:t>
      </w:r>
      <w:r>
        <w:t>cell reselection, both the NTN and TN carrier are counted in the TN-to-NTN</w:t>
      </w:r>
      <w:r w:rsidRPr="000B431D">
        <w:t xml:space="preserve"> </w:t>
      </w:r>
      <w:r>
        <w:t xml:space="preserve">reselection delay equation, however, the NTN carrier has not been reflected in the TN-to-TN reselection delay equation. In our view, it shall be </w:t>
      </w:r>
      <w:r w:rsidRPr="000B431D">
        <w:t>symmetric</w:t>
      </w:r>
      <w:r>
        <w:t xml:space="preserve"> between these two kinds of reselection scenarios, i.e., if </w:t>
      </w:r>
      <w:r w:rsidR="00B3480A">
        <w:t>SIB3/4/19 are broadcasted to UE for both TN and NTN neighbor cells measurements, UE needs to measure both TN and NTN carriers and in the worst case both TN and NTN carrier shall be counted in the delay equation.</w:t>
      </w:r>
    </w:p>
    <w:p w14:paraId="7CB5EE5F" w14:textId="566C00C8" w:rsidR="00B3480A" w:rsidRPr="00B3480A" w:rsidRDefault="00B3480A" w:rsidP="000B431D">
      <w:pPr>
        <w:jc w:val="both"/>
        <w:rPr>
          <w:b/>
          <w:bCs/>
          <w:i/>
          <w:iCs/>
        </w:rPr>
      </w:pPr>
      <w:r w:rsidRPr="00B3480A">
        <w:rPr>
          <w:b/>
          <w:bCs/>
          <w:i/>
          <w:iCs/>
        </w:rPr>
        <w:t>Proposal 1: for TN-to-TN cell reselection requirement, if both TN and NTN carriers are broadcast</w:t>
      </w:r>
      <w:r w:rsidR="00DB7D1A">
        <w:rPr>
          <w:b/>
          <w:bCs/>
          <w:i/>
          <w:iCs/>
        </w:rPr>
        <w:t>ed</w:t>
      </w:r>
      <w:r w:rsidRPr="00B3480A">
        <w:rPr>
          <w:b/>
          <w:bCs/>
          <w:i/>
          <w:iCs/>
        </w:rPr>
        <w:t xml:space="preserve"> to UE for neighbor cells</w:t>
      </w:r>
      <w:r w:rsidR="00DB7D1A">
        <w:rPr>
          <w:b/>
          <w:bCs/>
          <w:i/>
          <w:iCs/>
        </w:rPr>
        <w:t>’</w:t>
      </w:r>
      <w:r w:rsidRPr="00B3480A">
        <w:rPr>
          <w:b/>
          <w:bCs/>
          <w:i/>
          <w:iCs/>
        </w:rPr>
        <w:t xml:space="preserve"> measurement in IDLE/Inactive mode, UE needs to measure both TN and NTN carriers and</w:t>
      </w:r>
      <w:r>
        <w:rPr>
          <w:b/>
          <w:bCs/>
          <w:i/>
          <w:iCs/>
        </w:rPr>
        <w:t xml:space="preserve"> therefore</w:t>
      </w:r>
      <w:r w:rsidRPr="00B3480A">
        <w:rPr>
          <w:b/>
          <w:bCs/>
          <w:i/>
          <w:iCs/>
        </w:rPr>
        <w:t xml:space="preserve"> in the worst case both TN and NTN carrier</w:t>
      </w:r>
      <w:r>
        <w:rPr>
          <w:b/>
          <w:bCs/>
          <w:i/>
          <w:iCs/>
        </w:rPr>
        <w:t>s</w:t>
      </w:r>
      <w:r w:rsidRPr="00B3480A">
        <w:rPr>
          <w:b/>
          <w:bCs/>
          <w:i/>
          <w:iCs/>
        </w:rPr>
        <w:t xml:space="preserve"> shall be counted in the cell reselection delay equation.</w:t>
      </w:r>
    </w:p>
    <w:p w14:paraId="0652F583" w14:textId="6EE50EB6" w:rsidR="005711D2" w:rsidRDefault="004065CD" w:rsidP="004065CD">
      <w:pPr>
        <w:jc w:val="both"/>
        <w:rPr>
          <w:iCs/>
          <w:color w:val="000000" w:themeColor="text1"/>
        </w:rPr>
      </w:pPr>
      <w:r>
        <w:rPr>
          <w:iCs/>
          <w:color w:val="000000" w:themeColor="text1"/>
        </w:rPr>
        <w:t xml:space="preserve">As discussed in </w:t>
      </w:r>
      <w:r w:rsidR="00B3480A">
        <w:rPr>
          <w:iCs/>
          <w:color w:val="000000" w:themeColor="text1"/>
        </w:rPr>
        <w:t>previous</w:t>
      </w:r>
      <w:r>
        <w:rPr>
          <w:iCs/>
          <w:color w:val="000000" w:themeColor="text1"/>
        </w:rPr>
        <w:t xml:space="preserve"> meeting, when U</w:t>
      </w:r>
      <w:r w:rsidRPr="004065CD">
        <w:rPr>
          <w:iCs/>
          <w:color w:val="000000" w:themeColor="text1"/>
        </w:rPr>
        <w:t>E is camping on a TN serving cell but may perform cell re-selection to a target NTN cell, the difficult part is when UE shall turn on its GNSS modem for its GNSS location acquisition</w:t>
      </w:r>
      <w:r>
        <w:rPr>
          <w:iCs/>
          <w:color w:val="000000" w:themeColor="text1"/>
        </w:rPr>
        <w:t xml:space="preserve">. </w:t>
      </w:r>
      <w:r w:rsidRPr="004065CD">
        <w:rPr>
          <w:iCs/>
          <w:color w:val="000000" w:themeColor="text1"/>
        </w:rPr>
        <w:t>Since UE is in TN coverage and serving cell is good enough, it will waste power if UE keeps the GNSS modem ON</w:t>
      </w:r>
      <w:r>
        <w:rPr>
          <w:iCs/>
          <w:color w:val="000000" w:themeColor="text1"/>
        </w:rPr>
        <w:t xml:space="preserve">. </w:t>
      </w:r>
      <w:r w:rsidRPr="004065CD">
        <w:rPr>
          <w:iCs/>
          <w:color w:val="000000" w:themeColor="text1"/>
        </w:rPr>
        <w:t xml:space="preserve">However, if UE turns on the GNSS when mobility/re-selection is </w:t>
      </w:r>
      <w:r>
        <w:rPr>
          <w:iCs/>
          <w:color w:val="000000" w:themeColor="text1"/>
        </w:rPr>
        <w:t>triggered</w:t>
      </w:r>
      <w:r w:rsidRPr="004065CD">
        <w:rPr>
          <w:iCs/>
          <w:color w:val="000000" w:themeColor="text1"/>
        </w:rPr>
        <w:t>, then it will need much long time for UE to acquire the GNSS location (first time to fix for GNSS localization is time consuming)</w:t>
      </w:r>
      <w:r>
        <w:rPr>
          <w:iCs/>
          <w:color w:val="000000" w:themeColor="text1"/>
        </w:rPr>
        <w:t>.</w:t>
      </w:r>
    </w:p>
    <w:p w14:paraId="3DDE242D" w14:textId="3AEA4628" w:rsidR="004065CD" w:rsidRPr="004065CD" w:rsidRDefault="004065CD" w:rsidP="004065CD">
      <w:pPr>
        <w:jc w:val="both"/>
        <w:rPr>
          <w:b/>
          <w:bCs/>
          <w:i/>
          <w:color w:val="000000" w:themeColor="text1"/>
        </w:rPr>
      </w:pPr>
      <w:r w:rsidRPr="004065CD">
        <w:rPr>
          <w:b/>
          <w:bCs/>
          <w:i/>
          <w:color w:val="000000" w:themeColor="text1"/>
        </w:rPr>
        <w:t>Observation: Since the first fix of GNSS will take very long time during the cell reselection procedure, it’s not necessary to always consider UE turns on the GNSS only when the neighbor NTN measurement is triggered.</w:t>
      </w:r>
    </w:p>
    <w:p w14:paraId="2D972836" w14:textId="1612E1EC" w:rsidR="007E4E3A" w:rsidRDefault="007E4E3A" w:rsidP="007E4E3A">
      <w:pPr>
        <w:jc w:val="both"/>
        <w:rPr>
          <w:iCs/>
        </w:rPr>
      </w:pPr>
      <w:r>
        <w:rPr>
          <w:iCs/>
        </w:rPr>
        <w:t>In our view, there might be some scenarios can help UE to determine GNSS is ON or OFF. For instance, if</w:t>
      </w:r>
      <w:r w:rsidRPr="007E4E3A">
        <w:rPr>
          <w:iCs/>
        </w:rPr>
        <w:t xml:space="preserve"> UE is configured by network to have at least one high priority carrier which contains NTN cells,</w:t>
      </w:r>
      <w:r>
        <w:rPr>
          <w:iCs/>
        </w:rPr>
        <w:t xml:space="preserve"> </w:t>
      </w:r>
      <w:r w:rsidRPr="007E4E3A">
        <w:rPr>
          <w:iCs/>
        </w:rPr>
        <w:t xml:space="preserve">UE shall keep GNSS </w:t>
      </w:r>
      <w:r>
        <w:rPr>
          <w:iCs/>
        </w:rPr>
        <w:t>ON</w:t>
      </w:r>
      <w:r w:rsidRPr="007E4E3A">
        <w:rPr>
          <w:iCs/>
        </w:rPr>
        <w:t xml:space="preserve"> </w:t>
      </w:r>
      <w:r>
        <w:rPr>
          <w:iCs/>
        </w:rPr>
        <w:t>during</w:t>
      </w:r>
      <w:r w:rsidRPr="007E4E3A">
        <w:rPr>
          <w:iCs/>
        </w:rPr>
        <w:t xml:space="preserve"> such high priority frequency layer measurement</w:t>
      </w:r>
      <w:r>
        <w:rPr>
          <w:iCs/>
        </w:rPr>
        <w:t xml:space="preserve"> even the UE is in TN coverage.</w:t>
      </w:r>
      <w:r w:rsidR="007B5B1A">
        <w:rPr>
          <w:iCs/>
        </w:rPr>
        <w:t xml:space="preserve"> As shown in the following spec text of NTN requirement, even though </w:t>
      </w:r>
      <w:r w:rsidR="007B5B1A" w:rsidRPr="007B5B1A">
        <w:rPr>
          <w:iCs/>
        </w:rPr>
        <w:t>UE is not required to continuously measure the detected cell to evaluate the ongoing possibility of reselection</w:t>
      </w:r>
      <w:r w:rsidR="007B5B1A">
        <w:rPr>
          <w:iCs/>
        </w:rPr>
        <w:t xml:space="preserve"> after </w:t>
      </w:r>
      <w:r w:rsidR="007B5B1A" w:rsidRPr="007B5B1A">
        <w:rPr>
          <w:iCs/>
        </w:rPr>
        <w:t>determining that reselection has not occurred</w:t>
      </w:r>
      <w:r w:rsidR="007B5B1A">
        <w:rPr>
          <w:iCs/>
        </w:rPr>
        <w:t>, the high priority carrier searching is always there after configured in SIB4.</w:t>
      </w:r>
    </w:p>
    <w:tbl>
      <w:tblPr>
        <w:tblStyle w:val="TableGrid"/>
        <w:tblW w:w="0" w:type="auto"/>
        <w:tblLook w:val="04A0" w:firstRow="1" w:lastRow="0" w:firstColumn="1" w:lastColumn="0" w:noHBand="0" w:noVBand="1"/>
      </w:tblPr>
      <w:tblGrid>
        <w:gridCol w:w="9629"/>
      </w:tblGrid>
      <w:tr w:rsidR="007B5B1A" w14:paraId="5FEFDFFD" w14:textId="77777777" w:rsidTr="007B5B1A">
        <w:tc>
          <w:tcPr>
            <w:tcW w:w="9629" w:type="dxa"/>
          </w:tcPr>
          <w:p w14:paraId="7A632AC2" w14:textId="77777777" w:rsidR="007B5B1A" w:rsidRDefault="007B5B1A" w:rsidP="007B5B1A">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w:t>
            </w:r>
            <w:r w:rsidRPr="007B5B1A">
              <w:rPr>
                <w:highlight w:val="cyan"/>
              </w:rPr>
              <w:t xml:space="preserve">the UE shall search for inter-frequency layers of higher priority at least every </w:t>
            </w:r>
            <w:proofErr w:type="spellStart"/>
            <w:r w:rsidRPr="007B5B1A">
              <w:rPr>
                <w:highlight w:val="cyan"/>
              </w:rPr>
              <w:t>T</w:t>
            </w:r>
            <w:r w:rsidRPr="007B5B1A">
              <w:rPr>
                <w:highlight w:val="cyan"/>
                <w:vertAlign w:val="subscript"/>
              </w:rPr>
              <w:t>higher_priority_search</w:t>
            </w:r>
            <w:proofErr w:type="spellEnd"/>
            <w:r w:rsidRPr="007B5B1A">
              <w:rPr>
                <w:highlight w:val="cyan"/>
                <w:vertAlign w:val="subscript"/>
              </w:rPr>
              <w:t xml:space="preserve"> </w:t>
            </w:r>
            <w:r w:rsidRPr="007B5B1A">
              <w:rPr>
                <w:highlight w:val="cyan"/>
              </w:rPr>
              <w:t xml:space="preserve">where </w:t>
            </w:r>
            <w:proofErr w:type="spellStart"/>
            <w:r w:rsidRPr="007B5B1A">
              <w:rPr>
                <w:highlight w:val="cyan"/>
              </w:rPr>
              <w:t>T</w:t>
            </w:r>
            <w:r w:rsidRPr="007B5B1A">
              <w:rPr>
                <w:highlight w:val="cyan"/>
                <w:vertAlign w:val="subscript"/>
              </w:rPr>
              <w:t>higher_priority_search</w:t>
            </w:r>
            <w:proofErr w:type="spellEnd"/>
            <w:r w:rsidRPr="007B5B1A">
              <w:rPr>
                <w:highlight w:val="cyan"/>
              </w:rPr>
              <w:t xml:space="preserve"> is described in clause 4.2C.2.9</w:t>
            </w:r>
            <w:r>
              <w:t>.</w:t>
            </w:r>
          </w:p>
          <w:p w14:paraId="2D302A7A" w14:textId="23CD2F23" w:rsidR="007B5B1A" w:rsidRPr="007B5B1A" w:rsidRDefault="007B5B1A" w:rsidP="007B5B1A">
            <w:pPr>
              <w:rPr>
                <w:rFonts w:cs="v4.2.0"/>
              </w:rPr>
            </w:pPr>
            <w:r>
              <w:rPr>
                <w:rFonts w:cs="v4.2.0"/>
                <w:highlight w:val="yellow"/>
              </w:rPr>
              <w:t>-------</w:t>
            </w:r>
            <w:r w:rsidRPr="0003676E">
              <w:rPr>
                <w:rFonts w:cs="v4.2.0"/>
                <w:highlight w:val="yellow"/>
              </w:rPr>
              <w:t xml:space="preserve">Unrelated section </w:t>
            </w:r>
            <w:r>
              <w:rPr>
                <w:rFonts w:cs="v4.2.0"/>
                <w:highlight w:val="yellow"/>
              </w:rPr>
              <w:t>o</w:t>
            </w:r>
            <w:r w:rsidRPr="0003676E">
              <w:rPr>
                <w:rFonts w:cs="v4.2.0"/>
                <w:highlight w:val="yellow"/>
              </w:rPr>
              <w:t>mitted-------</w:t>
            </w:r>
          </w:p>
          <w:p w14:paraId="7B1B4340" w14:textId="1B994120" w:rsidR="007B5B1A" w:rsidRPr="007B5B1A" w:rsidRDefault="007B5B1A" w:rsidP="007B5B1A">
            <w:r w:rsidRPr="007B5B1A">
              <w:rPr>
                <w:highlight w:val="cyan"/>
              </w:rPr>
              <w:t xml:space="preserve">When higher priority cells are found by the higher priority search, they shall be measured at least every </w:t>
            </w:r>
            <w:proofErr w:type="spellStart"/>
            <w:proofErr w:type="gramStart"/>
            <w:r w:rsidRPr="007B5B1A">
              <w:rPr>
                <w:rFonts w:cs="v4.2.0"/>
                <w:highlight w:val="cyan"/>
              </w:rPr>
              <w:t>T</w:t>
            </w:r>
            <w:r w:rsidRPr="007B5B1A">
              <w:rPr>
                <w:rFonts w:cs="v4.2.0"/>
                <w:highlight w:val="cyan"/>
                <w:vertAlign w:val="subscript"/>
              </w:rPr>
              <w:t>measure,NR</w:t>
            </w:r>
            <w:proofErr w:type="gramEnd"/>
            <w:r w:rsidRPr="007B5B1A">
              <w:rPr>
                <w:rFonts w:cs="v4.2.0"/>
                <w:highlight w:val="cyan"/>
                <w:vertAlign w:val="subscript"/>
              </w:rPr>
              <w:t>_Inter</w:t>
            </w:r>
            <w:proofErr w:type="spellEnd"/>
            <w:r w:rsidRPr="007B5B1A">
              <w:rPr>
                <w:highlight w:val="cyan"/>
              </w:rPr>
              <w:t>. If, after detecting a cell in a higher priority search, it is determined that reselection has not occurred then the UE is not required to continuously measure the detected cell to evaluate the ongoing possibility of reselection.</w:t>
            </w:r>
            <w:r>
              <w:t xml:space="preserve">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tc>
      </w:tr>
    </w:tbl>
    <w:p w14:paraId="1CA0A04C" w14:textId="4A088344" w:rsidR="007B5B1A" w:rsidRDefault="007B5B1A" w:rsidP="007B5B1A">
      <w:pPr>
        <w:jc w:val="both"/>
        <w:rPr>
          <w:iCs/>
        </w:rPr>
      </w:pPr>
      <w:r>
        <w:rPr>
          <w:iCs/>
        </w:rPr>
        <w:lastRenderedPageBreak/>
        <w:t>Another way is to consider a n</w:t>
      </w:r>
      <w:r w:rsidRPr="007B5B1A">
        <w:rPr>
          <w:iCs/>
        </w:rPr>
        <w:t xml:space="preserve">ew threshold or threshold offset of </w:t>
      </w:r>
      <w:r>
        <w:rPr>
          <w:iCs/>
        </w:rPr>
        <w:t>RSRP/RSRQ</w:t>
      </w:r>
      <w:r w:rsidRPr="007B5B1A">
        <w:rPr>
          <w:iCs/>
        </w:rPr>
        <w:t xml:space="preserve"> for UE to trigger GNSS</w:t>
      </w:r>
      <w:r>
        <w:rPr>
          <w:iCs/>
        </w:rPr>
        <w:t>, and t</w:t>
      </w:r>
      <w:r w:rsidRPr="007B5B1A">
        <w:rPr>
          <w:iCs/>
        </w:rPr>
        <w:t xml:space="preserve">his offset </w:t>
      </w:r>
      <w:r>
        <w:rPr>
          <w:iCs/>
        </w:rPr>
        <w:t>can be</w:t>
      </w:r>
      <w:r w:rsidRPr="007B5B1A">
        <w:rPr>
          <w:iCs/>
        </w:rPr>
        <w:t xml:space="preserve"> applied on top of the serving cell </w:t>
      </w:r>
      <w:r>
        <w:rPr>
          <w:iCs/>
        </w:rPr>
        <w:t>RSRP/RSRQ</w:t>
      </w:r>
      <w:r w:rsidRPr="007B5B1A">
        <w:rPr>
          <w:iCs/>
        </w:rPr>
        <w:t xml:space="preserve"> threshold (legacy threshold for triggering neighbor cell measurement)</w:t>
      </w:r>
      <w:r>
        <w:rPr>
          <w:iCs/>
        </w:rPr>
        <w:t xml:space="preserve">. </w:t>
      </w:r>
      <w:r w:rsidRPr="007B5B1A">
        <w:rPr>
          <w:iCs/>
        </w:rPr>
        <w:t xml:space="preserve">For example, in the following figure, X1 is the legacy threshold to trigger neighbor cell measurement, and even higher than X1, there is a threshold X2 to trigger UE turning on the GNSS (X2&gt;X1). That </w:t>
      </w:r>
      <w:r>
        <w:rPr>
          <w:iCs/>
        </w:rPr>
        <w:t xml:space="preserve">can </w:t>
      </w:r>
      <w:proofErr w:type="gramStart"/>
      <w:r w:rsidRPr="007B5B1A">
        <w:rPr>
          <w:iCs/>
        </w:rPr>
        <w:t>makes</w:t>
      </w:r>
      <w:proofErr w:type="gramEnd"/>
      <w:r w:rsidRPr="007B5B1A">
        <w:rPr>
          <w:iCs/>
        </w:rPr>
        <w:t xml:space="preserve"> UE turn on the GNSS before it reaches X1 for neighbor NTN cell measurement.</w:t>
      </w:r>
    </w:p>
    <w:p w14:paraId="1831C02A" w14:textId="77777777" w:rsidR="008F529A" w:rsidRDefault="007B5B1A" w:rsidP="008F529A">
      <w:pPr>
        <w:keepNext/>
        <w:jc w:val="center"/>
      </w:pPr>
      <w:r w:rsidRPr="007B5B1A">
        <w:rPr>
          <w:iCs/>
          <w:noProof/>
        </w:rPr>
        <w:drawing>
          <wp:inline distT="0" distB="0" distL="0" distR="0" wp14:anchorId="20D05B8F" wp14:editId="38AB1052">
            <wp:extent cx="3813858" cy="1167620"/>
            <wp:effectExtent l="0" t="0" r="0" b="1270"/>
            <wp:docPr id="1203217117" name="Picture 1" descr="A blue and yellow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217117" name="Picture 1" descr="A blue and yellow rectangles&#10;&#10;Description automatically generated"/>
                    <pic:cNvPicPr/>
                  </pic:nvPicPr>
                  <pic:blipFill>
                    <a:blip r:embed="rId8"/>
                    <a:stretch>
                      <a:fillRect/>
                    </a:stretch>
                  </pic:blipFill>
                  <pic:spPr>
                    <a:xfrm>
                      <a:off x="0" y="0"/>
                      <a:ext cx="3871347" cy="1185220"/>
                    </a:xfrm>
                    <a:prstGeom prst="rect">
                      <a:avLst/>
                    </a:prstGeom>
                  </pic:spPr>
                </pic:pic>
              </a:graphicData>
            </a:graphic>
          </wp:inline>
        </w:drawing>
      </w:r>
    </w:p>
    <w:p w14:paraId="7591C98A" w14:textId="255C6A25" w:rsidR="007B5B1A" w:rsidRDefault="008F529A" w:rsidP="008F529A">
      <w:pPr>
        <w:pStyle w:val="Caption"/>
        <w:jc w:val="center"/>
        <w:rPr>
          <w:iCs/>
        </w:rPr>
      </w:pPr>
      <w:r>
        <w:t xml:space="preserve">Figure </w:t>
      </w:r>
      <w:r>
        <w:fldChar w:fldCharType="begin"/>
      </w:r>
      <w:r>
        <w:instrText xml:space="preserve"> SEQ Figure \* ARABIC </w:instrText>
      </w:r>
      <w:r>
        <w:fldChar w:fldCharType="separate"/>
      </w:r>
      <w:r w:rsidR="00F1294A">
        <w:rPr>
          <w:noProof/>
        </w:rPr>
        <w:t>1</w:t>
      </w:r>
      <w:r>
        <w:fldChar w:fldCharType="end"/>
      </w:r>
      <w:r>
        <w:t>. extra threshold to help turning on the GNSS at UE</w:t>
      </w:r>
    </w:p>
    <w:p w14:paraId="04E65D39" w14:textId="265B8643" w:rsidR="007B5B1A" w:rsidRDefault="007B5B1A" w:rsidP="00E67EC0">
      <w:pPr>
        <w:jc w:val="both"/>
        <w:rPr>
          <w:iCs/>
        </w:rPr>
      </w:pPr>
      <w:r>
        <w:rPr>
          <w:iCs/>
        </w:rPr>
        <w:t xml:space="preserve">However, regarding the limited time left for this WI, we think at least we can assume the GNSS is always ON when </w:t>
      </w:r>
      <w:r w:rsidRPr="007B5B1A">
        <w:rPr>
          <w:iCs/>
        </w:rPr>
        <w:t>higher priority search</w:t>
      </w:r>
      <w:r>
        <w:rPr>
          <w:iCs/>
        </w:rPr>
        <w:t xml:space="preserve"> is configured. </w:t>
      </w:r>
    </w:p>
    <w:p w14:paraId="663ABCEB" w14:textId="0F1F0C10" w:rsidR="007B5B1A" w:rsidRDefault="007B5B1A" w:rsidP="007B5B1A">
      <w:pPr>
        <w:spacing w:before="0" w:beforeAutospacing="0" w:after="120"/>
        <w:jc w:val="both"/>
        <w:rPr>
          <w:b/>
          <w:bCs/>
          <w:i/>
          <w:color w:val="000000" w:themeColor="text1"/>
        </w:rPr>
      </w:pPr>
      <w:r w:rsidRPr="000A7429">
        <w:rPr>
          <w:b/>
          <w:bCs/>
          <w:i/>
          <w:color w:val="000000" w:themeColor="text1"/>
        </w:rPr>
        <w:t xml:space="preserve">Proposal </w:t>
      </w:r>
      <w:r w:rsidR="00B3480A">
        <w:rPr>
          <w:b/>
          <w:bCs/>
          <w:i/>
          <w:color w:val="000000" w:themeColor="text1"/>
        </w:rPr>
        <w:t>2</w:t>
      </w:r>
      <w:r w:rsidRPr="000A7429">
        <w:rPr>
          <w:b/>
          <w:bCs/>
          <w:i/>
          <w:color w:val="000000" w:themeColor="text1"/>
        </w:rPr>
        <w:t xml:space="preserve">: </w:t>
      </w:r>
      <w:r w:rsidRPr="007B5B1A">
        <w:rPr>
          <w:b/>
          <w:bCs/>
          <w:i/>
          <w:color w:val="000000" w:themeColor="text1"/>
        </w:rPr>
        <w:t>if UE is configured by network to have at least one high priority carrier which contains NTN cells, UE shall keep GNSS ON during such high priority frequency layer measurement even the UE is in TN coverage</w:t>
      </w:r>
      <w:r>
        <w:rPr>
          <w:b/>
          <w:bCs/>
          <w:i/>
          <w:color w:val="000000" w:themeColor="text1"/>
        </w:rPr>
        <w:t>.</w:t>
      </w:r>
    </w:p>
    <w:p w14:paraId="4F729576" w14:textId="0520784F" w:rsidR="00E356F0" w:rsidRDefault="00E13ED3" w:rsidP="00E356F0">
      <w:pPr>
        <w:pStyle w:val="Heading1"/>
        <w:numPr>
          <w:ilvl w:val="0"/>
          <w:numId w:val="10"/>
        </w:numPr>
        <w:pBdr>
          <w:top w:val="single" w:sz="12" w:space="2" w:color="auto"/>
        </w:pBdr>
        <w:jc w:val="both"/>
        <w:rPr>
          <w:sz w:val="32"/>
        </w:rPr>
      </w:pPr>
      <w:r w:rsidRPr="00E13ED3">
        <w:rPr>
          <w:sz w:val="32"/>
        </w:rPr>
        <w:t xml:space="preserve">HO for satellite switching without PCI </w:t>
      </w:r>
      <w:proofErr w:type="gramStart"/>
      <w:r w:rsidRPr="00E13ED3">
        <w:rPr>
          <w:sz w:val="32"/>
        </w:rPr>
        <w:t>change</w:t>
      </w:r>
      <w:proofErr w:type="gramEnd"/>
    </w:p>
    <w:p w14:paraId="501A4DD1" w14:textId="29C1C85E" w:rsidR="00B3480A" w:rsidRPr="002C56D8" w:rsidRDefault="00B3480A" w:rsidP="00B3480A">
      <w:pPr>
        <w:rPr>
          <w:bCs/>
          <w:color w:val="000000" w:themeColor="text1"/>
          <w:lang w:eastAsia="ko-KR"/>
        </w:rPr>
      </w:pPr>
      <w:r>
        <w:rPr>
          <w:bCs/>
          <w:color w:val="000000" w:themeColor="text1"/>
          <w:lang w:eastAsia="ko-KR"/>
        </w:rPr>
        <w:t>The agreement and open issue for handover enhancement were:</w:t>
      </w:r>
    </w:p>
    <w:tbl>
      <w:tblPr>
        <w:tblStyle w:val="TableGrid"/>
        <w:tblW w:w="0" w:type="auto"/>
        <w:tblLook w:val="04A0" w:firstRow="1" w:lastRow="0" w:firstColumn="1" w:lastColumn="0" w:noHBand="0" w:noVBand="1"/>
      </w:tblPr>
      <w:tblGrid>
        <w:gridCol w:w="9629"/>
      </w:tblGrid>
      <w:tr w:rsidR="00B3480A" w14:paraId="0274F293" w14:textId="77777777" w:rsidTr="000D14A9">
        <w:tc>
          <w:tcPr>
            <w:tcW w:w="9629" w:type="dxa"/>
          </w:tcPr>
          <w:p w14:paraId="6E9DA274" w14:textId="77777777" w:rsidR="00B3480A" w:rsidRPr="00B3480A" w:rsidRDefault="00B3480A" w:rsidP="00B3480A">
            <w:pPr>
              <w:spacing w:before="0" w:beforeAutospacing="0" w:after="0"/>
              <w:outlineLvl w:val="2"/>
              <w:rPr>
                <w:b/>
                <w:sz w:val="20"/>
                <w:szCs w:val="20"/>
                <w:u w:val="single"/>
                <w:lang w:eastAsia="ko-KR"/>
              </w:rPr>
            </w:pPr>
            <w:r w:rsidRPr="00B3480A">
              <w:rPr>
                <w:b/>
                <w:sz w:val="20"/>
                <w:szCs w:val="20"/>
                <w:u w:val="single"/>
                <w:lang w:eastAsia="ko-KR"/>
              </w:rPr>
              <w:t>Issue 5-2-S1: (‘Soft’ Satellite switch) RAN2 LS on soft satellite switch</w:t>
            </w:r>
          </w:p>
          <w:p w14:paraId="306E2544" w14:textId="77777777" w:rsidR="00B3480A" w:rsidRPr="00B3480A" w:rsidRDefault="00B3480A" w:rsidP="00B3480A">
            <w:pPr>
              <w:spacing w:before="0" w:beforeAutospacing="0" w:after="0"/>
              <w:ind w:firstLine="284"/>
              <w:rPr>
                <w:b/>
                <w:bCs/>
                <w:sz w:val="20"/>
                <w:szCs w:val="20"/>
                <w:highlight w:val="green"/>
                <w:u w:val="single"/>
                <w:lang w:eastAsia="ja-JP"/>
              </w:rPr>
            </w:pPr>
            <w:r w:rsidRPr="00B3480A">
              <w:rPr>
                <w:b/>
                <w:bCs/>
                <w:sz w:val="20"/>
                <w:szCs w:val="20"/>
                <w:highlight w:val="green"/>
                <w:u w:val="single"/>
                <w:lang w:eastAsia="ja-JP"/>
              </w:rPr>
              <w:t xml:space="preserve">Agreement: (ad-hoc agreement – details for LS reply is separately discussed/approved, </w:t>
            </w:r>
            <w:proofErr w:type="spellStart"/>
            <w:r w:rsidRPr="00B3480A">
              <w:rPr>
                <w:b/>
                <w:bCs/>
                <w:sz w:val="20"/>
                <w:szCs w:val="20"/>
                <w:highlight w:val="green"/>
                <w:u w:val="single"/>
                <w:lang w:eastAsia="ja-JP"/>
              </w:rPr>
              <w:t>ledy</w:t>
            </w:r>
            <w:proofErr w:type="spellEnd"/>
            <w:r w:rsidRPr="00B3480A">
              <w:rPr>
                <w:b/>
                <w:bCs/>
                <w:sz w:val="20"/>
                <w:szCs w:val="20"/>
                <w:highlight w:val="green"/>
                <w:u w:val="single"/>
                <w:lang w:eastAsia="ja-JP"/>
              </w:rPr>
              <w:t xml:space="preserve"> by Apple)</w:t>
            </w:r>
          </w:p>
          <w:p w14:paraId="0C98758D" w14:textId="77777777" w:rsidR="00B3480A" w:rsidRPr="00B3480A" w:rsidRDefault="00B3480A" w:rsidP="00B3480A">
            <w:pPr>
              <w:pStyle w:val="ListParagraph"/>
              <w:widowControl/>
              <w:numPr>
                <w:ilvl w:val="0"/>
                <w:numId w:val="45"/>
              </w:numPr>
              <w:spacing w:before="0" w:beforeAutospacing="0" w:after="0" w:line="240" w:lineRule="auto"/>
              <w:ind w:left="360" w:firstLineChars="0"/>
              <w:textAlignment w:val="auto"/>
              <w:rPr>
                <w:sz w:val="20"/>
                <w:szCs w:val="20"/>
                <w:lang w:eastAsia="ja-JP"/>
              </w:rPr>
            </w:pPr>
            <w:r w:rsidRPr="00B3480A">
              <w:rPr>
                <w:sz w:val="20"/>
                <w:szCs w:val="20"/>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4FE25F83" w14:textId="77777777" w:rsidR="00B3480A" w:rsidRPr="00B3480A" w:rsidRDefault="00B3480A" w:rsidP="00B3480A">
            <w:pPr>
              <w:pStyle w:val="ListParagraph"/>
              <w:widowControl/>
              <w:numPr>
                <w:ilvl w:val="1"/>
                <w:numId w:val="45"/>
              </w:numPr>
              <w:spacing w:before="0" w:beforeAutospacing="0" w:after="0" w:line="240" w:lineRule="auto"/>
              <w:ind w:left="1080" w:firstLineChars="0"/>
              <w:textAlignment w:val="auto"/>
              <w:rPr>
                <w:sz w:val="20"/>
                <w:szCs w:val="20"/>
                <w:lang w:eastAsia="ja-JP"/>
              </w:rPr>
            </w:pPr>
            <w:r w:rsidRPr="00B3480A">
              <w:rPr>
                <w:sz w:val="20"/>
                <w:szCs w:val="20"/>
                <w:lang w:eastAsia="ja-JP"/>
              </w:rPr>
              <w:t>Only if SSBs from the two satellites are spaced apart from each other at least by [1 OFDM symbol] in the time domain at UE Rx side.</w:t>
            </w:r>
          </w:p>
          <w:p w14:paraId="05642D19" w14:textId="29116CCA" w:rsidR="00B3480A" w:rsidRPr="00B3480A" w:rsidRDefault="00B3480A" w:rsidP="00B3480A">
            <w:pPr>
              <w:pStyle w:val="ListParagraph"/>
              <w:widowControl/>
              <w:numPr>
                <w:ilvl w:val="0"/>
                <w:numId w:val="45"/>
              </w:numPr>
              <w:spacing w:before="0" w:beforeAutospacing="0" w:after="0" w:line="240" w:lineRule="auto"/>
              <w:ind w:left="360" w:firstLineChars="0"/>
              <w:textAlignment w:val="auto"/>
              <w:rPr>
                <w:sz w:val="20"/>
                <w:szCs w:val="20"/>
                <w:lang w:eastAsia="ja-JP"/>
              </w:rPr>
            </w:pPr>
            <w:r w:rsidRPr="00B3480A">
              <w:rPr>
                <w:sz w:val="20"/>
                <w:szCs w:val="20"/>
                <w:lang w:eastAsia="ja-JP"/>
              </w:rPr>
              <w:t xml:space="preserve">[If the UE not capable of parallelMeasurementWithoutRestriction-r17 then scheduling restriction shall be expected within the duration from </w:t>
            </w:r>
            <w:proofErr w:type="spellStart"/>
            <w:r w:rsidRPr="00B3480A">
              <w:rPr>
                <w:sz w:val="20"/>
                <w:szCs w:val="20"/>
                <w:lang w:eastAsia="ja-JP"/>
              </w:rPr>
              <w:t>Tstart</w:t>
            </w:r>
            <w:proofErr w:type="spellEnd"/>
            <w:r w:rsidRPr="00B3480A">
              <w:rPr>
                <w:sz w:val="20"/>
                <w:szCs w:val="20"/>
                <w:lang w:eastAsia="ja-JP"/>
              </w:rPr>
              <w:t xml:space="preserve"> to T service.]</w:t>
            </w:r>
          </w:p>
          <w:p w14:paraId="6F22CAA8" w14:textId="77777777" w:rsidR="00B3480A" w:rsidRPr="00B3480A" w:rsidRDefault="00B3480A" w:rsidP="00B3480A">
            <w:pPr>
              <w:spacing w:before="0" w:beforeAutospacing="0" w:after="0"/>
              <w:ind w:firstLine="284"/>
              <w:rPr>
                <w:b/>
                <w:bCs/>
                <w:sz w:val="20"/>
                <w:szCs w:val="20"/>
                <w:highlight w:val="green"/>
                <w:u w:val="single"/>
                <w:lang w:eastAsia="ja-JP"/>
              </w:rPr>
            </w:pPr>
            <w:r w:rsidRPr="00B3480A">
              <w:rPr>
                <w:b/>
                <w:bCs/>
                <w:sz w:val="20"/>
                <w:szCs w:val="20"/>
                <w:highlight w:val="green"/>
                <w:u w:val="single"/>
                <w:lang w:eastAsia="ja-JP"/>
              </w:rPr>
              <w:t xml:space="preserve">Agreement: </w:t>
            </w:r>
          </w:p>
          <w:p w14:paraId="63AD17BF" w14:textId="7E7141F5" w:rsidR="00B3480A" w:rsidRPr="0042453F" w:rsidRDefault="00B3480A" w:rsidP="00B3480A">
            <w:pPr>
              <w:spacing w:before="0" w:beforeAutospacing="0" w:after="0"/>
              <w:ind w:firstLine="284"/>
              <w:rPr>
                <w:lang w:eastAsia="ja-JP"/>
              </w:rPr>
            </w:pPr>
            <w:r w:rsidRPr="00B3480A">
              <w:rPr>
                <w:bCs/>
                <w:sz w:val="20"/>
                <w:szCs w:val="20"/>
                <w:highlight w:val="yellow"/>
                <w:u w:val="single"/>
                <w:lang w:eastAsia="ja-JP"/>
              </w:rPr>
              <w:t xml:space="preserve">Further discuss on the solutions of </w:t>
            </w:r>
            <w:r w:rsidRPr="00B3480A">
              <w:rPr>
                <w:sz w:val="20"/>
                <w:szCs w:val="20"/>
                <w:highlight w:val="yellow"/>
                <w:lang w:eastAsia="ja-JP"/>
              </w:rPr>
              <w:t>alleviating the scheduling restriction problem can be further discussed in maintenance phase.</w:t>
            </w:r>
            <w:r w:rsidRPr="009E3E83">
              <w:rPr>
                <w:lang w:eastAsia="ja-JP"/>
              </w:rPr>
              <w:t xml:space="preserve"> </w:t>
            </w:r>
          </w:p>
        </w:tc>
      </w:tr>
    </w:tbl>
    <w:p w14:paraId="18D275A1" w14:textId="608976FD" w:rsidR="002D5C49" w:rsidRDefault="002D5C49" w:rsidP="002D5C49">
      <w:pPr>
        <w:jc w:val="both"/>
        <w:rPr>
          <w:bCs/>
          <w:lang w:eastAsia="ko-KR"/>
        </w:rPr>
      </w:pPr>
      <w:r w:rsidRPr="002D5C49">
        <w:rPr>
          <w:bCs/>
          <w:lang w:eastAsia="ko-KR"/>
        </w:rPr>
        <w:t xml:space="preserve">In last meeting, some companies proposed to use PDD measurement/report to </w:t>
      </w:r>
      <w:r>
        <w:rPr>
          <w:bCs/>
          <w:lang w:eastAsia="ko-KR"/>
        </w:rPr>
        <w:t xml:space="preserve">enhance the </w:t>
      </w:r>
      <w:r w:rsidRPr="002D5C49">
        <w:rPr>
          <w:bCs/>
          <w:lang w:eastAsia="ko-KR"/>
        </w:rPr>
        <w:t>scheduling restriction</w:t>
      </w:r>
      <w:r>
        <w:rPr>
          <w:bCs/>
          <w:lang w:eastAsia="ko-KR"/>
        </w:rPr>
        <w:t xml:space="preserve"> during the soft satellite switch. However, in last meeting, RAN2 had following agreements that,</w:t>
      </w:r>
    </w:p>
    <w:tbl>
      <w:tblPr>
        <w:tblStyle w:val="TableGrid"/>
        <w:tblW w:w="0" w:type="auto"/>
        <w:tblLook w:val="04A0" w:firstRow="1" w:lastRow="0" w:firstColumn="1" w:lastColumn="0" w:noHBand="0" w:noVBand="1"/>
      </w:tblPr>
      <w:tblGrid>
        <w:gridCol w:w="9629"/>
      </w:tblGrid>
      <w:tr w:rsidR="002D5C49" w14:paraId="4DFC750D" w14:textId="77777777" w:rsidTr="002D5C49">
        <w:tc>
          <w:tcPr>
            <w:tcW w:w="9629" w:type="dxa"/>
          </w:tcPr>
          <w:p w14:paraId="1B5CB424" w14:textId="7E42D226" w:rsidR="002D5C49" w:rsidRPr="00115B58" w:rsidRDefault="002D5C49" w:rsidP="002D5C49">
            <w:pPr>
              <w:rPr>
                <w:sz w:val="20"/>
                <w:szCs w:val="20"/>
                <w:lang w:val="en-GB" w:eastAsia="en-GB"/>
              </w:rPr>
            </w:pPr>
            <w:r>
              <w:rPr>
                <w:sz w:val="20"/>
                <w:szCs w:val="20"/>
                <w:lang w:val="en-GB" w:eastAsia="en-GB"/>
              </w:rPr>
              <w:t xml:space="preserve">3.  </w:t>
            </w:r>
            <w:r w:rsidRPr="00115B58">
              <w:rPr>
                <w:sz w:val="20"/>
                <w:szCs w:val="20"/>
                <w:lang w:val="en-GB" w:eastAsia="en-GB"/>
              </w:rPr>
              <w:t xml:space="preserve">We don’t introduce the support for configuring and reporting measurements on the target cell (from target satellite) in the soft switch case </w:t>
            </w:r>
          </w:p>
          <w:p w14:paraId="4F3F646C" w14:textId="3F169C52" w:rsidR="002D5C49" w:rsidRPr="002D5C49" w:rsidRDefault="002D5C49" w:rsidP="002D5C49">
            <w:pPr>
              <w:rPr>
                <w:sz w:val="20"/>
                <w:szCs w:val="20"/>
                <w:lang w:val="en-GB" w:eastAsia="en-GB"/>
              </w:rPr>
            </w:pPr>
            <w:r w:rsidRPr="00115B58">
              <w:rPr>
                <w:sz w:val="20"/>
                <w:szCs w:val="20"/>
                <w:lang w:val="en-GB" w:eastAsia="en-GB"/>
              </w:rPr>
              <w:t>4.</w:t>
            </w:r>
            <w:r w:rsidRPr="00115B58">
              <w:rPr>
                <w:sz w:val="20"/>
                <w:szCs w:val="20"/>
                <w:lang w:val="en-GB" w:eastAsia="en-GB"/>
              </w:rPr>
              <w:tab/>
            </w:r>
            <w:r w:rsidRPr="00115B58">
              <w:rPr>
                <w:sz w:val="20"/>
                <w:szCs w:val="20"/>
                <w:highlight w:val="yellow"/>
                <w:lang w:val="en-GB" w:eastAsia="en-GB"/>
              </w:rPr>
              <w:t>RAN2 understands that the NW is not expected to configure PDD reporting between serving and target satellites involved in the satellite switch</w:t>
            </w:r>
          </w:p>
        </w:tc>
      </w:tr>
    </w:tbl>
    <w:p w14:paraId="5B246B8E" w14:textId="13D63D77" w:rsidR="002D5C49" w:rsidRDefault="002D5C49" w:rsidP="002D5C49">
      <w:pPr>
        <w:jc w:val="both"/>
        <w:rPr>
          <w:bCs/>
          <w:lang w:eastAsia="ko-KR"/>
        </w:rPr>
      </w:pPr>
      <w:r>
        <w:rPr>
          <w:bCs/>
          <w:lang w:eastAsia="ko-KR"/>
        </w:rPr>
        <w:t xml:space="preserve">So RAN4 shall not consider PDD reporting </w:t>
      </w:r>
      <w:r w:rsidRPr="002D5C49">
        <w:rPr>
          <w:bCs/>
          <w:lang w:eastAsia="ko-KR"/>
        </w:rPr>
        <w:t>between serving and target satellites involved in the satellite switch</w:t>
      </w:r>
      <w:r>
        <w:rPr>
          <w:bCs/>
          <w:lang w:eastAsia="ko-KR"/>
        </w:rPr>
        <w:t xml:space="preserve">. Regarding the scheduling restriction itself, if UE </w:t>
      </w:r>
      <w:r w:rsidRPr="002D5C49">
        <w:rPr>
          <w:bCs/>
          <w:lang w:eastAsia="ko-KR"/>
        </w:rPr>
        <w:t xml:space="preserve">is not capable of </w:t>
      </w:r>
      <w:r w:rsidRPr="002D5C49">
        <w:rPr>
          <w:bCs/>
          <w:i/>
          <w:iCs/>
          <w:lang w:eastAsia="ko-KR"/>
        </w:rPr>
        <w:lastRenderedPageBreak/>
        <w:t>parallelMeasurementWithoutRestriction-r17</w:t>
      </w:r>
      <w:r>
        <w:rPr>
          <w:bCs/>
          <w:lang w:eastAsia="ko-KR"/>
        </w:rPr>
        <w:t>, network can still configure hard satellite switching for simplicity, and it can always be alternative for these special cases.</w:t>
      </w:r>
      <w:r w:rsidR="003142B1">
        <w:rPr>
          <w:bCs/>
          <w:lang w:eastAsia="ko-KR"/>
        </w:rPr>
        <w:t xml:space="preserve"> </w:t>
      </w:r>
    </w:p>
    <w:p w14:paraId="69C8557B" w14:textId="49691C38" w:rsidR="003142B1" w:rsidRDefault="003142B1" w:rsidP="003142B1">
      <w:pPr>
        <w:spacing w:before="0" w:beforeAutospacing="0" w:after="120"/>
        <w:jc w:val="both"/>
        <w:rPr>
          <w:b/>
          <w:bCs/>
          <w:i/>
          <w:color w:val="000000" w:themeColor="text1"/>
        </w:rPr>
      </w:pPr>
      <w:r w:rsidRPr="000A7429">
        <w:rPr>
          <w:b/>
          <w:bCs/>
          <w:i/>
          <w:color w:val="000000" w:themeColor="text1"/>
        </w:rPr>
        <w:t xml:space="preserve">Proposal </w:t>
      </w:r>
      <w:r>
        <w:rPr>
          <w:b/>
          <w:bCs/>
          <w:i/>
          <w:color w:val="000000" w:themeColor="text1"/>
        </w:rPr>
        <w:t>3</w:t>
      </w:r>
      <w:r w:rsidRPr="000A7429">
        <w:rPr>
          <w:b/>
          <w:bCs/>
          <w:i/>
          <w:color w:val="000000" w:themeColor="text1"/>
        </w:rPr>
        <w:t xml:space="preserve">: </w:t>
      </w:r>
      <w:r w:rsidRPr="003142B1">
        <w:rPr>
          <w:b/>
          <w:bCs/>
          <w:i/>
          <w:color w:val="000000" w:themeColor="text1"/>
        </w:rPr>
        <w:t>not consider PDD reporting between serving and target satellites involved in the satellite switching without PCI change</w:t>
      </w:r>
      <w:r>
        <w:rPr>
          <w:b/>
          <w:bCs/>
          <w:i/>
          <w:color w:val="000000" w:themeColor="text1"/>
        </w:rPr>
        <w:t>.</w:t>
      </w:r>
    </w:p>
    <w:p w14:paraId="28B8F813" w14:textId="1D2A2227" w:rsidR="00353546" w:rsidRDefault="00353546" w:rsidP="00353546">
      <w:pPr>
        <w:spacing w:before="0" w:beforeAutospacing="0" w:after="120"/>
        <w:jc w:val="both"/>
        <w:rPr>
          <w:rFonts w:eastAsia="SimSun"/>
          <w:lang w:eastAsia="ja-JP"/>
        </w:rPr>
      </w:pPr>
      <w:r>
        <w:rPr>
          <w:rFonts w:eastAsia="SimSun"/>
          <w:lang w:eastAsia="ja-JP"/>
        </w:rPr>
        <w:t>So far</w:t>
      </w:r>
      <w:r w:rsidR="00F1294A">
        <w:rPr>
          <w:rFonts w:eastAsia="SimSun"/>
          <w:lang w:eastAsia="ja-JP"/>
        </w:rPr>
        <w:t>,</w:t>
      </w:r>
      <w:r>
        <w:rPr>
          <w:rFonts w:eastAsia="SimSun"/>
          <w:lang w:eastAsia="ja-JP"/>
        </w:rPr>
        <w:t xml:space="preserve"> the satellite switching without PCI change is only considered for the serving cell, however, UE may be also configured to perform the neighbor NTN cell measurement</w:t>
      </w:r>
      <w:r w:rsidR="00F1294A">
        <w:rPr>
          <w:rFonts w:eastAsia="SimSun"/>
          <w:lang w:eastAsia="ja-JP"/>
        </w:rPr>
        <w:t>,</w:t>
      </w:r>
      <w:r>
        <w:rPr>
          <w:rFonts w:eastAsia="SimSun"/>
          <w:lang w:eastAsia="ja-JP"/>
        </w:rPr>
        <w:t xml:space="preserve"> and the target NTN cell may also have</w:t>
      </w:r>
      <w:r w:rsidRPr="00353546">
        <w:rPr>
          <w:rFonts w:eastAsia="SimSun"/>
          <w:lang w:eastAsia="ja-JP"/>
        </w:rPr>
        <w:t xml:space="preserve"> </w:t>
      </w:r>
      <w:r>
        <w:rPr>
          <w:rFonts w:eastAsia="SimSun"/>
          <w:lang w:eastAsia="ja-JP"/>
        </w:rPr>
        <w:t xml:space="preserve">satellite switching without PCI change, as shown in the following figure. It’s still open </w:t>
      </w:r>
      <w:r w:rsidR="00F1294A">
        <w:rPr>
          <w:rFonts w:eastAsia="SimSun"/>
          <w:lang w:eastAsia="ja-JP"/>
        </w:rPr>
        <w:t>about</w:t>
      </w:r>
      <w:r>
        <w:rPr>
          <w:rFonts w:eastAsia="SimSun"/>
          <w:lang w:eastAsia="ja-JP"/>
        </w:rPr>
        <w:t xml:space="preserve"> UE behavior during satellite switching in neighbor cell, for example, </w:t>
      </w:r>
      <w:r w:rsidR="00F1294A">
        <w:rPr>
          <w:rFonts w:eastAsia="SimSun"/>
          <w:lang w:eastAsia="ja-JP"/>
        </w:rPr>
        <w:t xml:space="preserve">what shall UE do if </w:t>
      </w:r>
      <w:r w:rsidRPr="00353546">
        <w:rPr>
          <w:rFonts w:eastAsia="SimSun"/>
          <w:lang w:eastAsia="ja-JP"/>
        </w:rPr>
        <w:t xml:space="preserve">UE </w:t>
      </w:r>
      <w:r>
        <w:rPr>
          <w:rFonts w:eastAsia="SimSun"/>
          <w:lang w:eastAsia="ja-JP"/>
        </w:rPr>
        <w:t>is</w:t>
      </w:r>
      <w:r w:rsidRPr="00353546">
        <w:rPr>
          <w:rFonts w:eastAsia="SimSun"/>
          <w:lang w:eastAsia="ja-JP"/>
        </w:rPr>
        <w:t xml:space="preserve"> configured </w:t>
      </w:r>
      <w:r>
        <w:rPr>
          <w:rFonts w:eastAsia="SimSun"/>
          <w:lang w:eastAsia="ja-JP"/>
        </w:rPr>
        <w:t>to perform</w:t>
      </w:r>
      <w:r w:rsidRPr="00353546">
        <w:rPr>
          <w:rFonts w:eastAsia="SimSun"/>
          <w:lang w:eastAsia="ja-JP"/>
        </w:rPr>
        <w:t xml:space="preserve"> neighbor </w:t>
      </w:r>
      <w:r>
        <w:rPr>
          <w:rFonts w:eastAsia="SimSun"/>
          <w:lang w:eastAsia="ja-JP"/>
        </w:rPr>
        <w:t xml:space="preserve">NTN </w:t>
      </w:r>
      <w:r w:rsidRPr="00353546">
        <w:rPr>
          <w:rFonts w:eastAsia="SimSun"/>
          <w:lang w:eastAsia="ja-JP"/>
        </w:rPr>
        <w:t>cell measurements and have collected some samples before</w:t>
      </w:r>
      <w:r>
        <w:rPr>
          <w:rFonts w:eastAsia="SimSun"/>
          <w:lang w:eastAsia="ja-JP"/>
        </w:rPr>
        <w:t xml:space="preserve"> and after</w:t>
      </w:r>
      <w:r w:rsidRPr="00353546">
        <w:rPr>
          <w:rFonts w:eastAsia="SimSun"/>
          <w:lang w:eastAsia="ja-JP"/>
        </w:rPr>
        <w:t xml:space="preserve"> the satellite switching of neighbor cell, or </w:t>
      </w:r>
      <w:r w:rsidR="00F1294A">
        <w:rPr>
          <w:rFonts w:eastAsia="SimSun"/>
          <w:lang w:eastAsia="ja-JP"/>
        </w:rPr>
        <w:t xml:space="preserve">if </w:t>
      </w:r>
      <w:r w:rsidRPr="00353546">
        <w:rPr>
          <w:rFonts w:eastAsia="SimSun"/>
          <w:lang w:eastAsia="ja-JP"/>
        </w:rPr>
        <w:t>UE is performing evaluation for mobility decision during the satellite switching of neighbor cell</w:t>
      </w:r>
      <w:r>
        <w:rPr>
          <w:rFonts w:eastAsia="SimSun"/>
          <w:lang w:eastAsia="ja-JP"/>
        </w:rPr>
        <w:t>. We also think the serving cell needs to provide the satellite</w:t>
      </w:r>
      <w:r w:rsidRPr="00353546">
        <w:rPr>
          <w:rFonts w:eastAsia="SimSun"/>
          <w:lang w:eastAsia="ja-JP"/>
        </w:rPr>
        <w:t xml:space="preserve"> switching info </w:t>
      </w:r>
      <w:r w:rsidR="00F1294A">
        <w:rPr>
          <w:rFonts w:eastAsia="SimSun"/>
          <w:lang w:eastAsia="ja-JP"/>
        </w:rPr>
        <w:t>of</w:t>
      </w:r>
      <w:r w:rsidRPr="00353546">
        <w:rPr>
          <w:rFonts w:eastAsia="SimSun"/>
          <w:lang w:eastAsia="ja-JP"/>
        </w:rPr>
        <w:t xml:space="preserve"> neighbor cell to UE</w:t>
      </w:r>
      <w:r w:rsidR="00F1294A">
        <w:rPr>
          <w:rFonts w:eastAsia="SimSun"/>
          <w:lang w:eastAsia="ja-JP"/>
        </w:rPr>
        <w:t xml:space="preserve"> for measurement</w:t>
      </w:r>
      <w:r>
        <w:rPr>
          <w:rFonts w:eastAsia="SimSun"/>
          <w:lang w:eastAsia="ja-JP"/>
        </w:rPr>
        <w:t xml:space="preserve">, e.g., </w:t>
      </w:r>
      <w:r w:rsidRPr="00353546">
        <w:rPr>
          <w:rFonts w:eastAsia="SimSun"/>
          <w:lang w:eastAsia="ja-JP"/>
        </w:rPr>
        <w:t>t-Start and t-Service of the satellite(s) of the neighbor cell</w:t>
      </w:r>
      <w:r>
        <w:rPr>
          <w:rFonts w:eastAsia="SimSun"/>
          <w:lang w:eastAsia="ja-JP"/>
        </w:rPr>
        <w:t>.</w:t>
      </w:r>
      <w:r w:rsidR="00F1294A">
        <w:rPr>
          <w:rFonts w:eastAsia="SimSun"/>
          <w:lang w:eastAsia="ja-JP"/>
        </w:rPr>
        <w:t xml:space="preserve"> For the neighbor NTN measurement, i</w:t>
      </w:r>
      <w:r w:rsidR="00F1294A" w:rsidRPr="00F1294A">
        <w:rPr>
          <w:rFonts w:eastAsia="SimSun"/>
          <w:lang w:eastAsia="ja-JP"/>
        </w:rPr>
        <w:t>f the measurement samples ha</w:t>
      </w:r>
      <w:r w:rsidR="00F1294A">
        <w:rPr>
          <w:rFonts w:eastAsia="SimSun"/>
          <w:lang w:eastAsia="ja-JP"/>
        </w:rPr>
        <w:t>ve</w:t>
      </w:r>
      <w:r w:rsidR="00F1294A" w:rsidRPr="00F1294A">
        <w:rPr>
          <w:rFonts w:eastAsia="SimSun"/>
          <w:lang w:eastAsia="ja-JP"/>
        </w:rPr>
        <w:t xml:space="preserve"> been collected during the </w:t>
      </w:r>
      <w:r w:rsidR="00F1294A">
        <w:rPr>
          <w:rFonts w:eastAsia="SimSun"/>
          <w:lang w:eastAsia="ja-JP"/>
        </w:rPr>
        <w:t>satellite</w:t>
      </w:r>
      <w:r w:rsidR="00F1294A" w:rsidRPr="00F1294A">
        <w:rPr>
          <w:rFonts w:eastAsia="SimSun"/>
          <w:lang w:eastAsia="ja-JP"/>
        </w:rPr>
        <w:t xml:space="preserve"> switching without PCI </w:t>
      </w:r>
      <w:r w:rsidR="00F1294A">
        <w:rPr>
          <w:rFonts w:eastAsia="SimSun"/>
          <w:lang w:eastAsia="ja-JP"/>
        </w:rPr>
        <w:t xml:space="preserve">change </w:t>
      </w:r>
      <w:r w:rsidR="00F1294A" w:rsidRPr="00F1294A">
        <w:rPr>
          <w:rFonts w:eastAsia="SimSun"/>
          <w:lang w:eastAsia="ja-JP"/>
        </w:rPr>
        <w:t xml:space="preserve">for neighbor cell, i.e., </w:t>
      </w:r>
      <w:r w:rsidR="00F1294A">
        <w:rPr>
          <w:rFonts w:eastAsia="SimSun"/>
          <w:lang w:eastAsia="ja-JP"/>
        </w:rPr>
        <w:t xml:space="preserve">one </w:t>
      </w:r>
      <w:r w:rsidR="00F1294A" w:rsidRPr="00F1294A">
        <w:rPr>
          <w:rFonts w:eastAsia="SimSun"/>
          <w:lang w:eastAsia="ja-JP"/>
        </w:rPr>
        <w:t xml:space="preserve">measurement period contains the samples from new and old </w:t>
      </w:r>
      <w:r w:rsidR="00F1294A">
        <w:rPr>
          <w:rFonts w:eastAsia="SimSun"/>
          <w:lang w:eastAsia="ja-JP"/>
        </w:rPr>
        <w:t>satellite of neighbor cell</w:t>
      </w:r>
      <w:r w:rsidR="00F1294A" w:rsidRPr="00F1294A">
        <w:rPr>
          <w:rFonts w:eastAsia="SimSun"/>
          <w:lang w:eastAsia="ja-JP"/>
        </w:rPr>
        <w:t>,</w:t>
      </w:r>
      <w:r w:rsidR="00F1294A">
        <w:rPr>
          <w:rFonts w:eastAsia="SimSun"/>
          <w:lang w:eastAsia="ja-JP"/>
        </w:rPr>
        <w:t xml:space="preserve"> UE may </w:t>
      </w:r>
      <w:r w:rsidR="00F1294A" w:rsidRPr="00F1294A">
        <w:rPr>
          <w:rFonts w:eastAsia="SimSun"/>
          <w:lang w:eastAsia="ja-JP"/>
        </w:rPr>
        <w:t xml:space="preserve">drop the samples before SAT switching, and new L1/PHY sample collection and averaging will be performed after </w:t>
      </w:r>
      <w:r w:rsidR="00F1294A">
        <w:rPr>
          <w:rFonts w:eastAsia="SimSun"/>
          <w:lang w:eastAsia="ja-JP"/>
        </w:rPr>
        <w:t>satellite</w:t>
      </w:r>
      <w:r w:rsidR="00F1294A" w:rsidRPr="00F1294A">
        <w:rPr>
          <w:rFonts w:eastAsia="SimSun"/>
          <w:lang w:eastAsia="ja-JP"/>
        </w:rPr>
        <w:t xml:space="preserve"> switching</w:t>
      </w:r>
      <w:r w:rsidR="00F1294A">
        <w:rPr>
          <w:rFonts w:eastAsia="SimSun"/>
          <w:lang w:eastAsia="ja-JP"/>
        </w:rPr>
        <w:t>. However, this scenario has not been concluded in RAN2 yet, so RAN4 can wait for more information from RAN2.</w:t>
      </w:r>
    </w:p>
    <w:p w14:paraId="5EA12943" w14:textId="77777777" w:rsidR="00F1294A" w:rsidRDefault="00353546" w:rsidP="00F1294A">
      <w:pPr>
        <w:keepNext/>
        <w:spacing w:before="0" w:beforeAutospacing="0" w:after="120"/>
        <w:jc w:val="center"/>
      </w:pPr>
      <w:r w:rsidRPr="00353546">
        <w:rPr>
          <w:rFonts w:eastAsia="SimSun"/>
          <w:noProof/>
          <w:lang w:eastAsia="ja-JP"/>
        </w:rPr>
        <w:drawing>
          <wp:inline distT="0" distB="0" distL="0" distR="0" wp14:anchorId="61CC2DCB" wp14:editId="690C2846">
            <wp:extent cx="4143737" cy="1981805"/>
            <wp:effectExtent l="0" t="0" r="0" b="0"/>
            <wp:docPr id="949770434" name="Picture 1" descr="A set of icons with different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770434" name="Picture 1" descr="A set of icons with different symbols&#10;&#10;Description automatically generated with medium confidence"/>
                    <pic:cNvPicPr/>
                  </pic:nvPicPr>
                  <pic:blipFill>
                    <a:blip r:embed="rId9"/>
                    <a:stretch>
                      <a:fillRect/>
                    </a:stretch>
                  </pic:blipFill>
                  <pic:spPr>
                    <a:xfrm>
                      <a:off x="0" y="0"/>
                      <a:ext cx="4183162" cy="2000661"/>
                    </a:xfrm>
                    <a:prstGeom prst="rect">
                      <a:avLst/>
                    </a:prstGeom>
                  </pic:spPr>
                </pic:pic>
              </a:graphicData>
            </a:graphic>
          </wp:inline>
        </w:drawing>
      </w:r>
    </w:p>
    <w:p w14:paraId="21E44EFF" w14:textId="7BDB0A61" w:rsidR="00353546" w:rsidRDefault="00F1294A" w:rsidP="00F1294A">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shall we consider satellite switching for neighbor NTN cell?</w:t>
      </w:r>
    </w:p>
    <w:p w14:paraId="1B640FFC" w14:textId="4290F1C4" w:rsidR="003142B1" w:rsidRPr="003142B1" w:rsidRDefault="003142B1" w:rsidP="003142B1">
      <w:pPr>
        <w:spacing w:before="0" w:beforeAutospacing="0" w:after="120"/>
        <w:jc w:val="both"/>
        <w:rPr>
          <w:b/>
          <w:bCs/>
          <w:i/>
          <w:color w:val="000000" w:themeColor="text1"/>
        </w:rPr>
      </w:pPr>
      <w:r>
        <w:rPr>
          <w:b/>
          <w:bCs/>
          <w:i/>
          <w:color w:val="000000" w:themeColor="text1"/>
        </w:rPr>
        <w:t>Question</w:t>
      </w:r>
      <w:r w:rsidRPr="000A7429">
        <w:rPr>
          <w:b/>
          <w:bCs/>
          <w:i/>
          <w:color w:val="000000" w:themeColor="text1"/>
        </w:rPr>
        <w:t xml:space="preserve"> </w:t>
      </w:r>
      <w:r>
        <w:rPr>
          <w:b/>
          <w:bCs/>
          <w:i/>
          <w:color w:val="000000" w:themeColor="text1"/>
        </w:rPr>
        <w:t>to RAN4</w:t>
      </w:r>
      <w:r w:rsidRPr="000A7429">
        <w:rPr>
          <w:b/>
          <w:bCs/>
          <w:i/>
          <w:color w:val="000000" w:themeColor="text1"/>
        </w:rPr>
        <w:t xml:space="preserve">: </w:t>
      </w:r>
      <w:r w:rsidRPr="003142B1">
        <w:rPr>
          <w:b/>
          <w:bCs/>
          <w:i/>
          <w:color w:val="000000" w:themeColor="text1"/>
        </w:rPr>
        <w:t>shall we consider satellite switching for neighbor NTN cell</w:t>
      </w:r>
      <w:r>
        <w:rPr>
          <w:b/>
          <w:bCs/>
          <w:i/>
          <w:color w:val="000000" w:themeColor="text1"/>
        </w:rPr>
        <w:t xml:space="preserve"> in R18 RRM requirement?</w:t>
      </w:r>
    </w:p>
    <w:p w14:paraId="415A2556" w14:textId="77777777" w:rsidR="00A74337"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7A1AF18" w14:textId="77777777" w:rsidR="008A1E57" w:rsidRDefault="008A1E57" w:rsidP="00E06DD6">
      <w:pPr>
        <w:jc w:val="both"/>
      </w:pPr>
      <w:r>
        <w:t xml:space="preserve">In this contribution we discuss the impact on RRM for the </w:t>
      </w:r>
      <w:proofErr w:type="spellStart"/>
      <w:r>
        <w:t>eNTN</w:t>
      </w:r>
      <w:proofErr w:type="spellEnd"/>
      <w:r>
        <w:t xml:space="preserve"> UE.</w:t>
      </w:r>
    </w:p>
    <w:p w14:paraId="2A8BD343" w14:textId="77777777" w:rsidR="00DB7D1A" w:rsidRPr="00B3480A" w:rsidRDefault="00DB7D1A" w:rsidP="00DB7D1A">
      <w:pPr>
        <w:jc w:val="both"/>
        <w:rPr>
          <w:b/>
          <w:bCs/>
          <w:i/>
          <w:iCs/>
        </w:rPr>
      </w:pPr>
      <w:r w:rsidRPr="00B3480A">
        <w:rPr>
          <w:b/>
          <w:bCs/>
          <w:i/>
          <w:iCs/>
        </w:rPr>
        <w:t>Proposal 1: for TN-to-TN cell reselection requirement, if both TN and NTN carriers are broadcast</w:t>
      </w:r>
      <w:r>
        <w:rPr>
          <w:b/>
          <w:bCs/>
          <w:i/>
          <w:iCs/>
        </w:rPr>
        <w:t>ed</w:t>
      </w:r>
      <w:r w:rsidRPr="00B3480A">
        <w:rPr>
          <w:b/>
          <w:bCs/>
          <w:i/>
          <w:iCs/>
        </w:rPr>
        <w:t xml:space="preserve"> to UE for neighbor cells</w:t>
      </w:r>
      <w:r>
        <w:rPr>
          <w:b/>
          <w:bCs/>
          <w:i/>
          <w:iCs/>
        </w:rPr>
        <w:t>’</w:t>
      </w:r>
      <w:r w:rsidRPr="00B3480A">
        <w:rPr>
          <w:b/>
          <w:bCs/>
          <w:i/>
          <w:iCs/>
        </w:rPr>
        <w:t xml:space="preserve"> measurement in IDLE/Inactive mode, UE needs to measure both TN and NTN carriers and</w:t>
      </w:r>
      <w:r>
        <w:rPr>
          <w:b/>
          <w:bCs/>
          <w:i/>
          <w:iCs/>
        </w:rPr>
        <w:t xml:space="preserve"> therefore</w:t>
      </w:r>
      <w:r w:rsidRPr="00B3480A">
        <w:rPr>
          <w:b/>
          <w:bCs/>
          <w:i/>
          <w:iCs/>
        </w:rPr>
        <w:t xml:space="preserve"> in the worst case both TN and NTN carrier</w:t>
      </w:r>
      <w:r>
        <w:rPr>
          <w:b/>
          <w:bCs/>
          <w:i/>
          <w:iCs/>
        </w:rPr>
        <w:t>s</w:t>
      </w:r>
      <w:r w:rsidRPr="00B3480A">
        <w:rPr>
          <w:b/>
          <w:bCs/>
          <w:i/>
          <w:iCs/>
        </w:rPr>
        <w:t xml:space="preserve"> shall be counted in the cell reselection delay equation.</w:t>
      </w:r>
    </w:p>
    <w:p w14:paraId="2115AD8D" w14:textId="77777777" w:rsidR="003142B1" w:rsidRPr="004065CD" w:rsidRDefault="003142B1" w:rsidP="003142B1">
      <w:pPr>
        <w:jc w:val="both"/>
        <w:rPr>
          <w:b/>
          <w:bCs/>
          <w:i/>
          <w:color w:val="000000" w:themeColor="text1"/>
        </w:rPr>
      </w:pPr>
      <w:r w:rsidRPr="004065CD">
        <w:rPr>
          <w:b/>
          <w:bCs/>
          <w:i/>
          <w:color w:val="000000" w:themeColor="text1"/>
        </w:rPr>
        <w:t>Observation: Since the first fix of GNSS will take very long time during the cell reselection procedure, it’s not necessary to always consider UE turns on the GNSS only when the neighbor NTN measurement is triggered.</w:t>
      </w:r>
    </w:p>
    <w:p w14:paraId="6B9C0349" w14:textId="77777777" w:rsidR="003142B1" w:rsidRDefault="003142B1" w:rsidP="003142B1">
      <w:pPr>
        <w:spacing w:before="0" w:beforeAutospacing="0" w:after="120"/>
        <w:jc w:val="both"/>
        <w:rPr>
          <w:b/>
          <w:bCs/>
          <w:i/>
          <w:color w:val="000000" w:themeColor="text1"/>
        </w:rPr>
      </w:pPr>
      <w:r w:rsidRPr="000A7429">
        <w:rPr>
          <w:b/>
          <w:bCs/>
          <w:i/>
          <w:color w:val="000000" w:themeColor="text1"/>
        </w:rPr>
        <w:lastRenderedPageBreak/>
        <w:t xml:space="preserve">Proposal </w:t>
      </w:r>
      <w:r>
        <w:rPr>
          <w:b/>
          <w:bCs/>
          <w:i/>
          <w:color w:val="000000" w:themeColor="text1"/>
        </w:rPr>
        <w:t>2</w:t>
      </w:r>
      <w:r w:rsidRPr="000A7429">
        <w:rPr>
          <w:b/>
          <w:bCs/>
          <w:i/>
          <w:color w:val="000000" w:themeColor="text1"/>
        </w:rPr>
        <w:t xml:space="preserve">: </w:t>
      </w:r>
      <w:r w:rsidRPr="007B5B1A">
        <w:rPr>
          <w:b/>
          <w:bCs/>
          <w:i/>
          <w:color w:val="000000" w:themeColor="text1"/>
        </w:rPr>
        <w:t>if UE is configured by network to have at least one high priority carrier which contains NTN cells, UE shall keep GNSS ON during such high priority frequency layer measurement even the UE is in TN coverage</w:t>
      </w:r>
      <w:r>
        <w:rPr>
          <w:b/>
          <w:bCs/>
          <w:i/>
          <w:color w:val="000000" w:themeColor="text1"/>
        </w:rPr>
        <w:t>.</w:t>
      </w:r>
    </w:p>
    <w:p w14:paraId="487FA0D7" w14:textId="77777777" w:rsidR="003142B1" w:rsidRDefault="003142B1" w:rsidP="003142B1">
      <w:pPr>
        <w:spacing w:before="0" w:beforeAutospacing="0" w:after="120"/>
        <w:jc w:val="both"/>
        <w:rPr>
          <w:b/>
          <w:bCs/>
          <w:i/>
          <w:color w:val="000000" w:themeColor="text1"/>
        </w:rPr>
      </w:pPr>
      <w:r w:rsidRPr="000A7429">
        <w:rPr>
          <w:b/>
          <w:bCs/>
          <w:i/>
          <w:color w:val="000000" w:themeColor="text1"/>
        </w:rPr>
        <w:t xml:space="preserve">Proposal </w:t>
      </w:r>
      <w:r>
        <w:rPr>
          <w:b/>
          <w:bCs/>
          <w:i/>
          <w:color w:val="000000" w:themeColor="text1"/>
        </w:rPr>
        <w:t>3</w:t>
      </w:r>
      <w:r w:rsidRPr="000A7429">
        <w:rPr>
          <w:b/>
          <w:bCs/>
          <w:i/>
          <w:color w:val="000000" w:themeColor="text1"/>
        </w:rPr>
        <w:t xml:space="preserve">: </w:t>
      </w:r>
      <w:r w:rsidRPr="003142B1">
        <w:rPr>
          <w:b/>
          <w:bCs/>
          <w:i/>
          <w:color w:val="000000" w:themeColor="text1"/>
        </w:rPr>
        <w:t>not consider PDD reporting between serving and target satellites involved in the satellite switching without PCI change</w:t>
      </w:r>
      <w:r>
        <w:rPr>
          <w:b/>
          <w:bCs/>
          <w:i/>
          <w:color w:val="000000" w:themeColor="text1"/>
        </w:rPr>
        <w:t>.</w:t>
      </w:r>
    </w:p>
    <w:p w14:paraId="791A2AF0" w14:textId="52F07C89" w:rsidR="003142B1" w:rsidRPr="003142B1" w:rsidRDefault="003142B1" w:rsidP="003142B1">
      <w:pPr>
        <w:spacing w:before="0" w:beforeAutospacing="0" w:after="120"/>
        <w:jc w:val="both"/>
        <w:rPr>
          <w:b/>
          <w:bCs/>
          <w:i/>
          <w:color w:val="000000" w:themeColor="text1"/>
        </w:rPr>
      </w:pPr>
      <w:r>
        <w:rPr>
          <w:b/>
          <w:bCs/>
          <w:i/>
          <w:color w:val="000000" w:themeColor="text1"/>
        </w:rPr>
        <w:t>Question</w:t>
      </w:r>
      <w:r w:rsidRPr="000A7429">
        <w:rPr>
          <w:b/>
          <w:bCs/>
          <w:i/>
          <w:color w:val="000000" w:themeColor="text1"/>
        </w:rPr>
        <w:t xml:space="preserve"> </w:t>
      </w:r>
      <w:r>
        <w:rPr>
          <w:b/>
          <w:bCs/>
          <w:i/>
          <w:color w:val="000000" w:themeColor="text1"/>
        </w:rPr>
        <w:t>to RAN4</w:t>
      </w:r>
      <w:r w:rsidRPr="000A7429">
        <w:rPr>
          <w:b/>
          <w:bCs/>
          <w:i/>
          <w:color w:val="000000" w:themeColor="text1"/>
        </w:rPr>
        <w:t xml:space="preserve">: </w:t>
      </w:r>
      <w:r w:rsidRPr="003142B1">
        <w:rPr>
          <w:b/>
          <w:bCs/>
          <w:i/>
          <w:color w:val="000000" w:themeColor="text1"/>
        </w:rPr>
        <w:t>shall we consider satellite switching for neighbor NTN cell</w:t>
      </w:r>
      <w:r>
        <w:rPr>
          <w:b/>
          <w:bCs/>
          <w:i/>
          <w:color w:val="000000" w:themeColor="text1"/>
        </w:rPr>
        <w:t xml:space="preserve"> in R18 RRM requirement?</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271CAAA4" w14:textId="77777777" w:rsidR="00D85241" w:rsidRDefault="00D85241" w:rsidP="00D85241">
      <w:r>
        <w:t xml:space="preserve">[1] </w:t>
      </w:r>
      <w:r w:rsidRPr="00134D3E">
        <w:rPr>
          <w:rFonts w:cs="Arial"/>
        </w:rPr>
        <w:t>R4-2403492</w:t>
      </w:r>
      <w:r>
        <w:rPr>
          <w:rFonts w:cs="Arial"/>
        </w:rPr>
        <w:t xml:space="preserve">, </w:t>
      </w:r>
      <w:r w:rsidRPr="00D026DD">
        <w:rPr>
          <w:rFonts w:cs="Arial"/>
        </w:rPr>
        <w:t>WF on NTN RRM requirements</w:t>
      </w:r>
      <w:r w:rsidRPr="003302A0">
        <w:t xml:space="preserve">, </w:t>
      </w:r>
      <w:r w:rsidRPr="001F65D9">
        <w:t>Qualcomm</w:t>
      </w:r>
      <w:r w:rsidRPr="003302A0">
        <w:t>, RAN</w:t>
      </w:r>
      <w:r>
        <w:t>4 #110</w:t>
      </w:r>
    </w:p>
    <w:p w14:paraId="0C91915A" w14:textId="05F775F3" w:rsidR="00110BFA" w:rsidRPr="005A1E0E" w:rsidRDefault="00110BFA" w:rsidP="00A74337"/>
    <w:sectPr w:rsidR="00110BFA" w:rsidRPr="005A1E0E" w:rsidSect="002E3E8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92B35" w14:textId="77777777" w:rsidR="002E3E8A" w:rsidRDefault="002E3E8A">
      <w:r>
        <w:separator/>
      </w:r>
    </w:p>
  </w:endnote>
  <w:endnote w:type="continuationSeparator" w:id="0">
    <w:p w14:paraId="229D1B02" w14:textId="77777777" w:rsidR="002E3E8A" w:rsidRDefault="002E3E8A">
      <w:r>
        <w:continuationSeparator/>
      </w:r>
    </w:p>
  </w:endnote>
  <w:endnote w:type="continuationNotice" w:id="1">
    <w:p w14:paraId="2CD1A728" w14:textId="77777777" w:rsidR="002E3E8A" w:rsidRDefault="002E3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4F0F7" w14:textId="77777777" w:rsidR="002E3E8A" w:rsidRDefault="002E3E8A">
      <w:r>
        <w:separator/>
      </w:r>
    </w:p>
  </w:footnote>
  <w:footnote w:type="continuationSeparator" w:id="0">
    <w:p w14:paraId="61BDCE4C" w14:textId="77777777" w:rsidR="002E3E8A" w:rsidRDefault="002E3E8A">
      <w:r>
        <w:continuationSeparator/>
      </w:r>
    </w:p>
  </w:footnote>
  <w:footnote w:type="continuationNotice" w:id="1">
    <w:p w14:paraId="20FC6793" w14:textId="77777777" w:rsidR="002E3E8A" w:rsidRDefault="002E3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56.25pt;height:37.2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73DD1"/>
    <w:multiLevelType w:val="hybridMultilevel"/>
    <w:tmpl w:val="83EC5D16"/>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5" w15:restartNumberingAfterBreak="0">
    <w:nsid w:val="3B5C7936"/>
    <w:multiLevelType w:val="hybridMultilevel"/>
    <w:tmpl w:val="BC3E2C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538CBC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2"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2685F3F"/>
    <w:multiLevelType w:val="hybridMultilevel"/>
    <w:tmpl w:val="6CCA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083B92"/>
    <w:multiLevelType w:val="hybridMultilevel"/>
    <w:tmpl w:val="115A027E"/>
    <w:lvl w:ilvl="0" w:tplc="50ECC9F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844C27"/>
    <w:multiLevelType w:val="hybridMultilevel"/>
    <w:tmpl w:val="54CC8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4"/>
  </w:num>
  <w:num w:numId="5" w16cid:durableId="19949176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9"/>
  </w:num>
  <w:num w:numId="8" w16cid:durableId="66853061">
    <w:abstractNumId w:val="5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46"/>
  </w:num>
  <w:num w:numId="12" w16cid:durableId="1683971953">
    <w:abstractNumId w:val="32"/>
  </w:num>
  <w:num w:numId="13" w16cid:durableId="1802336773">
    <w:abstractNumId w:val="48"/>
  </w:num>
  <w:num w:numId="14" w16cid:durableId="183179212">
    <w:abstractNumId w:val="14"/>
  </w:num>
  <w:num w:numId="15" w16cid:durableId="101072845">
    <w:abstractNumId w:val="2"/>
  </w:num>
  <w:num w:numId="16" w16cid:durableId="1671985423">
    <w:abstractNumId w:val="55"/>
  </w:num>
  <w:num w:numId="17" w16cid:durableId="527718403">
    <w:abstractNumId w:val="11"/>
  </w:num>
  <w:num w:numId="18" w16cid:durableId="336426665">
    <w:abstractNumId w:val="38"/>
  </w:num>
  <w:num w:numId="19" w16cid:durableId="314071016">
    <w:abstractNumId w:val="6"/>
  </w:num>
  <w:num w:numId="20" w16cid:durableId="254241833">
    <w:abstractNumId w:val="17"/>
  </w:num>
  <w:num w:numId="21" w16cid:durableId="2056931042">
    <w:abstractNumId w:val="31"/>
  </w:num>
  <w:num w:numId="22" w16cid:durableId="277881800">
    <w:abstractNumId w:val="35"/>
  </w:num>
  <w:num w:numId="23" w16cid:durableId="2121104171">
    <w:abstractNumId w:val="23"/>
  </w:num>
  <w:num w:numId="24" w16cid:durableId="1956054883">
    <w:abstractNumId w:val="18"/>
  </w:num>
  <w:num w:numId="25" w16cid:durableId="1143275559">
    <w:abstractNumId w:val="26"/>
  </w:num>
  <w:num w:numId="26" w16cid:durableId="337998213">
    <w:abstractNumId w:val="27"/>
  </w:num>
  <w:num w:numId="27" w16cid:durableId="753867088">
    <w:abstractNumId w:val="21"/>
  </w:num>
  <w:num w:numId="28" w16cid:durableId="1388605013">
    <w:abstractNumId w:val="19"/>
  </w:num>
  <w:num w:numId="29" w16cid:durableId="1194684424">
    <w:abstractNumId w:val="28"/>
  </w:num>
  <w:num w:numId="30" w16cid:durableId="195780968">
    <w:abstractNumId w:val="39"/>
  </w:num>
  <w:num w:numId="31" w16cid:durableId="43145658">
    <w:abstractNumId w:val="34"/>
  </w:num>
  <w:num w:numId="32" w16cid:durableId="840119956">
    <w:abstractNumId w:val="52"/>
  </w:num>
  <w:num w:numId="33" w16cid:durableId="788086887">
    <w:abstractNumId w:val="45"/>
  </w:num>
  <w:num w:numId="34" w16cid:durableId="1075589885">
    <w:abstractNumId w:val="22"/>
  </w:num>
  <w:num w:numId="35" w16cid:durableId="1071587299">
    <w:abstractNumId w:val="49"/>
  </w:num>
  <w:num w:numId="36" w16cid:durableId="1091851232">
    <w:abstractNumId w:val="43"/>
  </w:num>
  <w:num w:numId="37" w16cid:durableId="1931697551">
    <w:abstractNumId w:val="20"/>
  </w:num>
  <w:num w:numId="38" w16cid:durableId="1849905691">
    <w:abstractNumId w:val="36"/>
  </w:num>
  <w:num w:numId="39" w16cid:durableId="276916249">
    <w:abstractNumId w:val="51"/>
  </w:num>
  <w:num w:numId="40" w16cid:durableId="935945555">
    <w:abstractNumId w:val="9"/>
  </w:num>
  <w:num w:numId="41" w16cid:durableId="1093478076">
    <w:abstractNumId w:val="15"/>
  </w:num>
  <w:num w:numId="42" w16cid:durableId="1347514231">
    <w:abstractNumId w:val="56"/>
  </w:num>
  <w:num w:numId="43" w16cid:durableId="30151458">
    <w:abstractNumId w:val="0"/>
  </w:num>
  <w:num w:numId="44" w16cid:durableId="207424313">
    <w:abstractNumId w:val="40"/>
  </w:num>
  <w:num w:numId="45" w16cid:durableId="1443723114">
    <w:abstractNumId w:val="41"/>
  </w:num>
  <w:num w:numId="46" w16cid:durableId="1609892873">
    <w:abstractNumId w:val="30"/>
  </w:num>
  <w:num w:numId="47" w16cid:durableId="966543058">
    <w:abstractNumId w:val="33"/>
  </w:num>
  <w:num w:numId="48" w16cid:durableId="2035420080">
    <w:abstractNumId w:val="12"/>
  </w:num>
  <w:num w:numId="49" w16cid:durableId="1083143886">
    <w:abstractNumId w:val="42"/>
  </w:num>
  <w:num w:numId="50" w16cid:durableId="166945364">
    <w:abstractNumId w:val="3"/>
  </w:num>
  <w:num w:numId="51" w16cid:durableId="903754630">
    <w:abstractNumId w:val="10"/>
  </w:num>
  <w:num w:numId="52" w16cid:durableId="1555392521">
    <w:abstractNumId w:val="47"/>
  </w:num>
  <w:num w:numId="53" w16cid:durableId="476650323">
    <w:abstractNumId w:val="53"/>
  </w:num>
  <w:num w:numId="54" w16cid:durableId="158624567">
    <w:abstractNumId w:val="5"/>
  </w:num>
  <w:num w:numId="55" w16cid:durableId="1893927055">
    <w:abstractNumId w:val="4"/>
  </w:num>
  <w:num w:numId="56" w16cid:durableId="1602911970">
    <w:abstractNumId w:val="37"/>
  </w:num>
  <w:num w:numId="57" w16cid:durableId="1793549435">
    <w:abstractNumId w:val="16"/>
  </w:num>
  <w:num w:numId="58" w16cid:durableId="1754623952">
    <w:abstractNumId w:val="25"/>
  </w:num>
  <w:num w:numId="59" w16cid:durableId="207883281">
    <w:abstractNumId w:val="50"/>
  </w:num>
  <w:num w:numId="60" w16cid:durableId="683244852">
    <w:abstractNumId w:val="13"/>
  </w:num>
  <w:num w:numId="61" w16cid:durableId="1087265031">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0AD"/>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676E"/>
    <w:rsid w:val="0003732D"/>
    <w:rsid w:val="000379E3"/>
    <w:rsid w:val="00040B6E"/>
    <w:rsid w:val="00040B9B"/>
    <w:rsid w:val="00041910"/>
    <w:rsid w:val="00041B0F"/>
    <w:rsid w:val="00042374"/>
    <w:rsid w:val="00042CA4"/>
    <w:rsid w:val="0004301E"/>
    <w:rsid w:val="00043024"/>
    <w:rsid w:val="00044A05"/>
    <w:rsid w:val="00044B4C"/>
    <w:rsid w:val="000459BE"/>
    <w:rsid w:val="00045E08"/>
    <w:rsid w:val="00050318"/>
    <w:rsid w:val="00050545"/>
    <w:rsid w:val="00050957"/>
    <w:rsid w:val="00051788"/>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9E2"/>
    <w:rsid w:val="00060CF2"/>
    <w:rsid w:val="00060EEF"/>
    <w:rsid w:val="00061A8B"/>
    <w:rsid w:val="00062E63"/>
    <w:rsid w:val="0006353B"/>
    <w:rsid w:val="00063A62"/>
    <w:rsid w:val="00063BE7"/>
    <w:rsid w:val="000645B4"/>
    <w:rsid w:val="00065C5F"/>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5A"/>
    <w:rsid w:val="00076F5C"/>
    <w:rsid w:val="0007719F"/>
    <w:rsid w:val="00077C54"/>
    <w:rsid w:val="00077FD6"/>
    <w:rsid w:val="000800DC"/>
    <w:rsid w:val="000808D2"/>
    <w:rsid w:val="00081275"/>
    <w:rsid w:val="00081E65"/>
    <w:rsid w:val="00082D9A"/>
    <w:rsid w:val="00082E1A"/>
    <w:rsid w:val="00083DCB"/>
    <w:rsid w:val="000840C0"/>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031"/>
    <w:rsid w:val="000962AD"/>
    <w:rsid w:val="000968A7"/>
    <w:rsid w:val="00097274"/>
    <w:rsid w:val="00097B64"/>
    <w:rsid w:val="00097E22"/>
    <w:rsid w:val="00097E2C"/>
    <w:rsid w:val="000A00B8"/>
    <w:rsid w:val="000A01EE"/>
    <w:rsid w:val="000A0579"/>
    <w:rsid w:val="000A0A66"/>
    <w:rsid w:val="000A0E4A"/>
    <w:rsid w:val="000A11B4"/>
    <w:rsid w:val="000A1E9C"/>
    <w:rsid w:val="000A25FD"/>
    <w:rsid w:val="000A2628"/>
    <w:rsid w:val="000A35F8"/>
    <w:rsid w:val="000A3C2D"/>
    <w:rsid w:val="000A3E09"/>
    <w:rsid w:val="000A505A"/>
    <w:rsid w:val="000A595A"/>
    <w:rsid w:val="000A59EA"/>
    <w:rsid w:val="000A67D0"/>
    <w:rsid w:val="000A7429"/>
    <w:rsid w:val="000A7CED"/>
    <w:rsid w:val="000B17DF"/>
    <w:rsid w:val="000B19D0"/>
    <w:rsid w:val="000B30E0"/>
    <w:rsid w:val="000B38EC"/>
    <w:rsid w:val="000B3965"/>
    <w:rsid w:val="000B3A01"/>
    <w:rsid w:val="000B431D"/>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9B"/>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03C"/>
    <w:rsid w:val="001318C8"/>
    <w:rsid w:val="00131FC6"/>
    <w:rsid w:val="001325E9"/>
    <w:rsid w:val="00132EBF"/>
    <w:rsid w:val="00132F37"/>
    <w:rsid w:val="00133A0A"/>
    <w:rsid w:val="001346E3"/>
    <w:rsid w:val="001352B6"/>
    <w:rsid w:val="00136107"/>
    <w:rsid w:val="00136139"/>
    <w:rsid w:val="0013776C"/>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282"/>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56E"/>
    <w:rsid w:val="001A02F4"/>
    <w:rsid w:val="001A1078"/>
    <w:rsid w:val="001A14D9"/>
    <w:rsid w:val="001A2DA5"/>
    <w:rsid w:val="001A31AA"/>
    <w:rsid w:val="001A31D4"/>
    <w:rsid w:val="001A45C5"/>
    <w:rsid w:val="001A45CC"/>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4"/>
    <w:rsid w:val="001C6638"/>
    <w:rsid w:val="001C79BE"/>
    <w:rsid w:val="001C7AD6"/>
    <w:rsid w:val="001D0D3C"/>
    <w:rsid w:val="001D0DC4"/>
    <w:rsid w:val="001D1853"/>
    <w:rsid w:val="001D3529"/>
    <w:rsid w:val="001D5057"/>
    <w:rsid w:val="001D5DEE"/>
    <w:rsid w:val="001D6F61"/>
    <w:rsid w:val="001D714B"/>
    <w:rsid w:val="001D78C8"/>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F33"/>
    <w:rsid w:val="001F3622"/>
    <w:rsid w:val="001F479A"/>
    <w:rsid w:val="001F59EF"/>
    <w:rsid w:val="001F63EF"/>
    <w:rsid w:val="001F65D9"/>
    <w:rsid w:val="001F715B"/>
    <w:rsid w:val="00200136"/>
    <w:rsid w:val="002018D3"/>
    <w:rsid w:val="00201E08"/>
    <w:rsid w:val="00202AD7"/>
    <w:rsid w:val="00202ADF"/>
    <w:rsid w:val="00203C24"/>
    <w:rsid w:val="00203FC0"/>
    <w:rsid w:val="0020413C"/>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43FF"/>
    <w:rsid w:val="002346F9"/>
    <w:rsid w:val="00234CC7"/>
    <w:rsid w:val="002352A1"/>
    <w:rsid w:val="00235D67"/>
    <w:rsid w:val="00236B44"/>
    <w:rsid w:val="00236D56"/>
    <w:rsid w:val="00237CD3"/>
    <w:rsid w:val="00237FDA"/>
    <w:rsid w:val="002408BE"/>
    <w:rsid w:val="00241281"/>
    <w:rsid w:val="00241ACF"/>
    <w:rsid w:val="00242B77"/>
    <w:rsid w:val="0024363C"/>
    <w:rsid w:val="00245B24"/>
    <w:rsid w:val="00246B61"/>
    <w:rsid w:val="00247AF0"/>
    <w:rsid w:val="00250218"/>
    <w:rsid w:val="00250262"/>
    <w:rsid w:val="002509D0"/>
    <w:rsid w:val="00251B15"/>
    <w:rsid w:val="00253235"/>
    <w:rsid w:val="00253327"/>
    <w:rsid w:val="0025373D"/>
    <w:rsid w:val="002542BB"/>
    <w:rsid w:val="002547EB"/>
    <w:rsid w:val="00255AFA"/>
    <w:rsid w:val="00255EAD"/>
    <w:rsid w:val="0026077C"/>
    <w:rsid w:val="0026138A"/>
    <w:rsid w:val="00261BB3"/>
    <w:rsid w:val="00261E2B"/>
    <w:rsid w:val="00262700"/>
    <w:rsid w:val="00262AE2"/>
    <w:rsid w:val="00262E5F"/>
    <w:rsid w:val="0026384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D87"/>
    <w:rsid w:val="00273EB9"/>
    <w:rsid w:val="002742D0"/>
    <w:rsid w:val="00275844"/>
    <w:rsid w:val="0027597C"/>
    <w:rsid w:val="00275C10"/>
    <w:rsid w:val="00276050"/>
    <w:rsid w:val="00276891"/>
    <w:rsid w:val="002772D9"/>
    <w:rsid w:val="00277997"/>
    <w:rsid w:val="00277CA2"/>
    <w:rsid w:val="0028073E"/>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9E6"/>
    <w:rsid w:val="002A4EB3"/>
    <w:rsid w:val="002A5B38"/>
    <w:rsid w:val="002A7A85"/>
    <w:rsid w:val="002B0A1B"/>
    <w:rsid w:val="002B15A0"/>
    <w:rsid w:val="002B5728"/>
    <w:rsid w:val="002B5A86"/>
    <w:rsid w:val="002B607F"/>
    <w:rsid w:val="002B718D"/>
    <w:rsid w:val="002B7961"/>
    <w:rsid w:val="002C1CDD"/>
    <w:rsid w:val="002C1DE0"/>
    <w:rsid w:val="002C1F9E"/>
    <w:rsid w:val="002C22E6"/>
    <w:rsid w:val="002C25CA"/>
    <w:rsid w:val="002C394F"/>
    <w:rsid w:val="002C416C"/>
    <w:rsid w:val="002C430D"/>
    <w:rsid w:val="002C4722"/>
    <w:rsid w:val="002C48C9"/>
    <w:rsid w:val="002C56D8"/>
    <w:rsid w:val="002C573C"/>
    <w:rsid w:val="002C5867"/>
    <w:rsid w:val="002C5FD5"/>
    <w:rsid w:val="002C670E"/>
    <w:rsid w:val="002C6890"/>
    <w:rsid w:val="002D1506"/>
    <w:rsid w:val="002D16B0"/>
    <w:rsid w:val="002D1B35"/>
    <w:rsid w:val="002D1B4F"/>
    <w:rsid w:val="002D3A6D"/>
    <w:rsid w:val="002D3DB0"/>
    <w:rsid w:val="002D3EAD"/>
    <w:rsid w:val="002D3F24"/>
    <w:rsid w:val="002D4269"/>
    <w:rsid w:val="002D4588"/>
    <w:rsid w:val="002D462A"/>
    <w:rsid w:val="002D46C6"/>
    <w:rsid w:val="002D53B5"/>
    <w:rsid w:val="002D5C49"/>
    <w:rsid w:val="002D621A"/>
    <w:rsid w:val="002D64CA"/>
    <w:rsid w:val="002D6A82"/>
    <w:rsid w:val="002D797D"/>
    <w:rsid w:val="002E01CC"/>
    <w:rsid w:val="002E35D6"/>
    <w:rsid w:val="002E3E8A"/>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40"/>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19F"/>
    <w:rsid w:val="003142B1"/>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27DD"/>
    <w:rsid w:val="00352C9D"/>
    <w:rsid w:val="00353546"/>
    <w:rsid w:val="003542FC"/>
    <w:rsid w:val="00354AC7"/>
    <w:rsid w:val="003555DE"/>
    <w:rsid w:val="003567BE"/>
    <w:rsid w:val="00356DED"/>
    <w:rsid w:val="00356FD9"/>
    <w:rsid w:val="00360017"/>
    <w:rsid w:val="00360436"/>
    <w:rsid w:val="00360F8E"/>
    <w:rsid w:val="00361280"/>
    <w:rsid w:val="00362A76"/>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5A"/>
    <w:rsid w:val="0038760E"/>
    <w:rsid w:val="0038790F"/>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D69"/>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CF0"/>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65CD"/>
    <w:rsid w:val="004073E7"/>
    <w:rsid w:val="00407B4B"/>
    <w:rsid w:val="00407D5E"/>
    <w:rsid w:val="00411C70"/>
    <w:rsid w:val="00412074"/>
    <w:rsid w:val="0041291C"/>
    <w:rsid w:val="00412F8E"/>
    <w:rsid w:val="004130E6"/>
    <w:rsid w:val="0041312E"/>
    <w:rsid w:val="00413B3A"/>
    <w:rsid w:val="00414678"/>
    <w:rsid w:val="00414C67"/>
    <w:rsid w:val="00414EA0"/>
    <w:rsid w:val="004155EE"/>
    <w:rsid w:val="00415773"/>
    <w:rsid w:val="004158D4"/>
    <w:rsid w:val="00415A2F"/>
    <w:rsid w:val="0041690F"/>
    <w:rsid w:val="00416AE9"/>
    <w:rsid w:val="0041734E"/>
    <w:rsid w:val="004209ED"/>
    <w:rsid w:val="00421C9C"/>
    <w:rsid w:val="00423275"/>
    <w:rsid w:val="0042414A"/>
    <w:rsid w:val="00424491"/>
    <w:rsid w:val="0042453F"/>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33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AF8"/>
    <w:rsid w:val="00473BEF"/>
    <w:rsid w:val="00474181"/>
    <w:rsid w:val="00474920"/>
    <w:rsid w:val="00474C95"/>
    <w:rsid w:val="0047511F"/>
    <w:rsid w:val="004762AE"/>
    <w:rsid w:val="00476399"/>
    <w:rsid w:val="0047674A"/>
    <w:rsid w:val="004775D5"/>
    <w:rsid w:val="00477C5F"/>
    <w:rsid w:val="00477EDE"/>
    <w:rsid w:val="00480051"/>
    <w:rsid w:val="00480430"/>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1783"/>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25E"/>
    <w:rsid w:val="004A53E3"/>
    <w:rsid w:val="004A5678"/>
    <w:rsid w:val="004A5DDD"/>
    <w:rsid w:val="004A6E1C"/>
    <w:rsid w:val="004B01E1"/>
    <w:rsid w:val="004B0E42"/>
    <w:rsid w:val="004B1375"/>
    <w:rsid w:val="004B1E5A"/>
    <w:rsid w:val="004B214D"/>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3652"/>
    <w:rsid w:val="004D38D7"/>
    <w:rsid w:val="004D4494"/>
    <w:rsid w:val="004D48B4"/>
    <w:rsid w:val="004D4B1A"/>
    <w:rsid w:val="004D4D0C"/>
    <w:rsid w:val="004D4ED2"/>
    <w:rsid w:val="004D5613"/>
    <w:rsid w:val="004D569C"/>
    <w:rsid w:val="004D63AF"/>
    <w:rsid w:val="004E04C9"/>
    <w:rsid w:val="004E0875"/>
    <w:rsid w:val="004E1C2E"/>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8AA"/>
    <w:rsid w:val="005063B3"/>
    <w:rsid w:val="0050694D"/>
    <w:rsid w:val="00506B77"/>
    <w:rsid w:val="00507AA3"/>
    <w:rsid w:val="005102AE"/>
    <w:rsid w:val="005102D5"/>
    <w:rsid w:val="005105A7"/>
    <w:rsid w:val="00510895"/>
    <w:rsid w:val="0051133A"/>
    <w:rsid w:val="0051173B"/>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11D2"/>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0B94"/>
    <w:rsid w:val="005D1422"/>
    <w:rsid w:val="005D17C2"/>
    <w:rsid w:val="005D1FA7"/>
    <w:rsid w:val="005D3A5E"/>
    <w:rsid w:val="005D3C28"/>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074"/>
    <w:rsid w:val="005F22AD"/>
    <w:rsid w:val="005F234D"/>
    <w:rsid w:val="005F33E0"/>
    <w:rsid w:val="005F3B99"/>
    <w:rsid w:val="005F4753"/>
    <w:rsid w:val="005F4A2C"/>
    <w:rsid w:val="005F5D6E"/>
    <w:rsid w:val="005F5DE2"/>
    <w:rsid w:val="005F6885"/>
    <w:rsid w:val="005F6B0E"/>
    <w:rsid w:val="005F74B5"/>
    <w:rsid w:val="006002BA"/>
    <w:rsid w:val="006004F7"/>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5769"/>
    <w:rsid w:val="00626783"/>
    <w:rsid w:val="00626C49"/>
    <w:rsid w:val="006271F5"/>
    <w:rsid w:val="0062732B"/>
    <w:rsid w:val="006273DB"/>
    <w:rsid w:val="006274F4"/>
    <w:rsid w:val="006278EE"/>
    <w:rsid w:val="006279ED"/>
    <w:rsid w:val="00627D4A"/>
    <w:rsid w:val="006308ED"/>
    <w:rsid w:val="00630E6B"/>
    <w:rsid w:val="00631363"/>
    <w:rsid w:val="00632015"/>
    <w:rsid w:val="006320AE"/>
    <w:rsid w:val="006321BB"/>
    <w:rsid w:val="00633379"/>
    <w:rsid w:val="00633AD1"/>
    <w:rsid w:val="00633C98"/>
    <w:rsid w:val="00634944"/>
    <w:rsid w:val="00634D36"/>
    <w:rsid w:val="00634D48"/>
    <w:rsid w:val="00635722"/>
    <w:rsid w:val="0063605F"/>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B83"/>
    <w:rsid w:val="00660F08"/>
    <w:rsid w:val="006610FA"/>
    <w:rsid w:val="006611D3"/>
    <w:rsid w:val="0066147C"/>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5DA0"/>
    <w:rsid w:val="006877DB"/>
    <w:rsid w:val="00687842"/>
    <w:rsid w:val="00687C17"/>
    <w:rsid w:val="0069017A"/>
    <w:rsid w:val="00690490"/>
    <w:rsid w:val="006918EE"/>
    <w:rsid w:val="00691F11"/>
    <w:rsid w:val="00692682"/>
    <w:rsid w:val="00692A6A"/>
    <w:rsid w:val="00692F61"/>
    <w:rsid w:val="00692F75"/>
    <w:rsid w:val="00694373"/>
    <w:rsid w:val="0069504A"/>
    <w:rsid w:val="00695051"/>
    <w:rsid w:val="00695558"/>
    <w:rsid w:val="00695FEA"/>
    <w:rsid w:val="0069618B"/>
    <w:rsid w:val="0069658E"/>
    <w:rsid w:val="00696C66"/>
    <w:rsid w:val="006A05A5"/>
    <w:rsid w:val="006A0CBB"/>
    <w:rsid w:val="006A1353"/>
    <w:rsid w:val="006A2AED"/>
    <w:rsid w:val="006A2C54"/>
    <w:rsid w:val="006A2C60"/>
    <w:rsid w:val="006A3B3B"/>
    <w:rsid w:val="006A48AC"/>
    <w:rsid w:val="006A4A7F"/>
    <w:rsid w:val="006A6596"/>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6725"/>
    <w:rsid w:val="006D7810"/>
    <w:rsid w:val="006E064C"/>
    <w:rsid w:val="006E0B5C"/>
    <w:rsid w:val="006E0C02"/>
    <w:rsid w:val="006E1452"/>
    <w:rsid w:val="006E16E6"/>
    <w:rsid w:val="006E1ECC"/>
    <w:rsid w:val="006E2D78"/>
    <w:rsid w:val="006E2E2A"/>
    <w:rsid w:val="006E390D"/>
    <w:rsid w:val="006E41D3"/>
    <w:rsid w:val="006E485F"/>
    <w:rsid w:val="006E5442"/>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2FC3"/>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1814"/>
    <w:rsid w:val="007334AD"/>
    <w:rsid w:val="007338BF"/>
    <w:rsid w:val="0073452C"/>
    <w:rsid w:val="0073469E"/>
    <w:rsid w:val="00734B9B"/>
    <w:rsid w:val="00735712"/>
    <w:rsid w:val="007358EB"/>
    <w:rsid w:val="00735E8B"/>
    <w:rsid w:val="00735F06"/>
    <w:rsid w:val="007362B7"/>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B89"/>
    <w:rsid w:val="007717DE"/>
    <w:rsid w:val="00771980"/>
    <w:rsid w:val="00771EDD"/>
    <w:rsid w:val="00772586"/>
    <w:rsid w:val="007729AF"/>
    <w:rsid w:val="00772DAA"/>
    <w:rsid w:val="00772FF5"/>
    <w:rsid w:val="00773373"/>
    <w:rsid w:val="00773A5A"/>
    <w:rsid w:val="007741C0"/>
    <w:rsid w:val="0077426D"/>
    <w:rsid w:val="00775200"/>
    <w:rsid w:val="00775528"/>
    <w:rsid w:val="00776DC6"/>
    <w:rsid w:val="00777681"/>
    <w:rsid w:val="00777880"/>
    <w:rsid w:val="007806A8"/>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FE5"/>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08"/>
    <w:rsid w:val="007B2D31"/>
    <w:rsid w:val="007B2E0F"/>
    <w:rsid w:val="007B3D65"/>
    <w:rsid w:val="007B3E2E"/>
    <w:rsid w:val="007B3EC5"/>
    <w:rsid w:val="007B4654"/>
    <w:rsid w:val="007B4666"/>
    <w:rsid w:val="007B49A9"/>
    <w:rsid w:val="007B4FF5"/>
    <w:rsid w:val="007B503F"/>
    <w:rsid w:val="007B5B1A"/>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3A"/>
    <w:rsid w:val="007E4E98"/>
    <w:rsid w:val="007E53EC"/>
    <w:rsid w:val="007E54F5"/>
    <w:rsid w:val="007E66BC"/>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0E"/>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3E47"/>
    <w:rsid w:val="00844889"/>
    <w:rsid w:val="008448D7"/>
    <w:rsid w:val="008453CB"/>
    <w:rsid w:val="00845CC0"/>
    <w:rsid w:val="00845D84"/>
    <w:rsid w:val="00846653"/>
    <w:rsid w:val="00846721"/>
    <w:rsid w:val="00846987"/>
    <w:rsid w:val="008472A5"/>
    <w:rsid w:val="00847453"/>
    <w:rsid w:val="0085060C"/>
    <w:rsid w:val="008506C7"/>
    <w:rsid w:val="00850CA7"/>
    <w:rsid w:val="00851254"/>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92F"/>
    <w:rsid w:val="00876EF6"/>
    <w:rsid w:val="00876F74"/>
    <w:rsid w:val="008804CD"/>
    <w:rsid w:val="008806E4"/>
    <w:rsid w:val="008809D5"/>
    <w:rsid w:val="00880DC8"/>
    <w:rsid w:val="00880E4F"/>
    <w:rsid w:val="00880FC6"/>
    <w:rsid w:val="00882774"/>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EB2"/>
    <w:rsid w:val="008B6469"/>
    <w:rsid w:val="008B695B"/>
    <w:rsid w:val="008B742A"/>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27B"/>
    <w:rsid w:val="008D17B4"/>
    <w:rsid w:val="008D22DD"/>
    <w:rsid w:val="008D2A0D"/>
    <w:rsid w:val="008D3DD6"/>
    <w:rsid w:val="008D4149"/>
    <w:rsid w:val="008D447A"/>
    <w:rsid w:val="008D4D76"/>
    <w:rsid w:val="008D4DDC"/>
    <w:rsid w:val="008D4E62"/>
    <w:rsid w:val="008D5BD4"/>
    <w:rsid w:val="008D5D1C"/>
    <w:rsid w:val="008D61C3"/>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29A"/>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AB8"/>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1F97"/>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0B9"/>
    <w:rsid w:val="00971527"/>
    <w:rsid w:val="009715AD"/>
    <w:rsid w:val="0097246A"/>
    <w:rsid w:val="00972E40"/>
    <w:rsid w:val="00973033"/>
    <w:rsid w:val="0097380E"/>
    <w:rsid w:val="009755AF"/>
    <w:rsid w:val="00975937"/>
    <w:rsid w:val="009768AE"/>
    <w:rsid w:val="009771E3"/>
    <w:rsid w:val="0097762D"/>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6E72"/>
    <w:rsid w:val="009A7384"/>
    <w:rsid w:val="009B0FF4"/>
    <w:rsid w:val="009B26C3"/>
    <w:rsid w:val="009B3549"/>
    <w:rsid w:val="009B37D5"/>
    <w:rsid w:val="009B3FCD"/>
    <w:rsid w:val="009B4FA5"/>
    <w:rsid w:val="009B587D"/>
    <w:rsid w:val="009B5EEC"/>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B96"/>
    <w:rsid w:val="009D4D61"/>
    <w:rsid w:val="009D56DB"/>
    <w:rsid w:val="009D57B5"/>
    <w:rsid w:val="009D6EA7"/>
    <w:rsid w:val="009D7356"/>
    <w:rsid w:val="009D7B43"/>
    <w:rsid w:val="009D7C18"/>
    <w:rsid w:val="009E072E"/>
    <w:rsid w:val="009E0F48"/>
    <w:rsid w:val="009E13FA"/>
    <w:rsid w:val="009E23E5"/>
    <w:rsid w:val="009E2D98"/>
    <w:rsid w:val="009E3581"/>
    <w:rsid w:val="009E3632"/>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D12"/>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19E1"/>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0393"/>
    <w:rsid w:val="00AA1144"/>
    <w:rsid w:val="00AA1B88"/>
    <w:rsid w:val="00AA1BC9"/>
    <w:rsid w:val="00AA1E9A"/>
    <w:rsid w:val="00AA2043"/>
    <w:rsid w:val="00AA204B"/>
    <w:rsid w:val="00AA28EA"/>
    <w:rsid w:val="00AA2AAE"/>
    <w:rsid w:val="00AA2CE3"/>
    <w:rsid w:val="00AA3019"/>
    <w:rsid w:val="00AA3558"/>
    <w:rsid w:val="00AA399E"/>
    <w:rsid w:val="00AA3DE4"/>
    <w:rsid w:val="00AA3E66"/>
    <w:rsid w:val="00AA502D"/>
    <w:rsid w:val="00AA5273"/>
    <w:rsid w:val="00AA6419"/>
    <w:rsid w:val="00AA6612"/>
    <w:rsid w:val="00AA7890"/>
    <w:rsid w:val="00AA7B46"/>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010"/>
    <w:rsid w:val="00AE273E"/>
    <w:rsid w:val="00AE2ED5"/>
    <w:rsid w:val="00AE3836"/>
    <w:rsid w:val="00AE4865"/>
    <w:rsid w:val="00AE574C"/>
    <w:rsid w:val="00AE5B08"/>
    <w:rsid w:val="00AE6BBB"/>
    <w:rsid w:val="00AE75B5"/>
    <w:rsid w:val="00AE7671"/>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745"/>
    <w:rsid w:val="00B00884"/>
    <w:rsid w:val="00B01928"/>
    <w:rsid w:val="00B02280"/>
    <w:rsid w:val="00B0307A"/>
    <w:rsid w:val="00B068F8"/>
    <w:rsid w:val="00B06DCC"/>
    <w:rsid w:val="00B073CB"/>
    <w:rsid w:val="00B0774E"/>
    <w:rsid w:val="00B07F1E"/>
    <w:rsid w:val="00B106AA"/>
    <w:rsid w:val="00B10FCB"/>
    <w:rsid w:val="00B12A56"/>
    <w:rsid w:val="00B131B8"/>
    <w:rsid w:val="00B13B32"/>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480A"/>
    <w:rsid w:val="00B35AC3"/>
    <w:rsid w:val="00B35D04"/>
    <w:rsid w:val="00B36598"/>
    <w:rsid w:val="00B40438"/>
    <w:rsid w:val="00B406C0"/>
    <w:rsid w:val="00B4094C"/>
    <w:rsid w:val="00B4168E"/>
    <w:rsid w:val="00B42721"/>
    <w:rsid w:val="00B42DD2"/>
    <w:rsid w:val="00B42FE9"/>
    <w:rsid w:val="00B43911"/>
    <w:rsid w:val="00B43B08"/>
    <w:rsid w:val="00B45243"/>
    <w:rsid w:val="00B455B9"/>
    <w:rsid w:val="00B4739F"/>
    <w:rsid w:val="00B47797"/>
    <w:rsid w:val="00B47819"/>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5980"/>
    <w:rsid w:val="00B6747C"/>
    <w:rsid w:val="00B7074B"/>
    <w:rsid w:val="00B70AD8"/>
    <w:rsid w:val="00B7162C"/>
    <w:rsid w:val="00B71AFF"/>
    <w:rsid w:val="00B71E86"/>
    <w:rsid w:val="00B724AF"/>
    <w:rsid w:val="00B7298C"/>
    <w:rsid w:val="00B72D64"/>
    <w:rsid w:val="00B731C9"/>
    <w:rsid w:val="00B73AB5"/>
    <w:rsid w:val="00B7438C"/>
    <w:rsid w:val="00B74FC7"/>
    <w:rsid w:val="00B75B41"/>
    <w:rsid w:val="00B75EF4"/>
    <w:rsid w:val="00B76056"/>
    <w:rsid w:val="00B763F6"/>
    <w:rsid w:val="00B76D98"/>
    <w:rsid w:val="00B80F98"/>
    <w:rsid w:val="00B81AB9"/>
    <w:rsid w:val="00B82BA7"/>
    <w:rsid w:val="00B82D83"/>
    <w:rsid w:val="00B8315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97A"/>
    <w:rsid w:val="00BE3D35"/>
    <w:rsid w:val="00BE454B"/>
    <w:rsid w:val="00BE4AEE"/>
    <w:rsid w:val="00BE5C1E"/>
    <w:rsid w:val="00BE64A0"/>
    <w:rsid w:val="00BE6C06"/>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37DF"/>
    <w:rsid w:val="00C04005"/>
    <w:rsid w:val="00C05A38"/>
    <w:rsid w:val="00C05D08"/>
    <w:rsid w:val="00C07CAF"/>
    <w:rsid w:val="00C07CBF"/>
    <w:rsid w:val="00C10078"/>
    <w:rsid w:val="00C11403"/>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659"/>
    <w:rsid w:val="00C41ADF"/>
    <w:rsid w:val="00C42523"/>
    <w:rsid w:val="00C42638"/>
    <w:rsid w:val="00C4288D"/>
    <w:rsid w:val="00C435E9"/>
    <w:rsid w:val="00C43835"/>
    <w:rsid w:val="00C44556"/>
    <w:rsid w:val="00C44695"/>
    <w:rsid w:val="00C45734"/>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4DF7"/>
    <w:rsid w:val="00CB5883"/>
    <w:rsid w:val="00CB59B6"/>
    <w:rsid w:val="00CB59D8"/>
    <w:rsid w:val="00CB5D4C"/>
    <w:rsid w:val="00CB6544"/>
    <w:rsid w:val="00CB6882"/>
    <w:rsid w:val="00CB7906"/>
    <w:rsid w:val="00CC0A82"/>
    <w:rsid w:val="00CC1194"/>
    <w:rsid w:val="00CC15C6"/>
    <w:rsid w:val="00CC29B9"/>
    <w:rsid w:val="00CC449F"/>
    <w:rsid w:val="00CC484F"/>
    <w:rsid w:val="00CC4B01"/>
    <w:rsid w:val="00CC50D3"/>
    <w:rsid w:val="00CC559C"/>
    <w:rsid w:val="00CC5D1B"/>
    <w:rsid w:val="00CC724E"/>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1FF7"/>
    <w:rsid w:val="00D031E1"/>
    <w:rsid w:val="00D04B3F"/>
    <w:rsid w:val="00D05D8C"/>
    <w:rsid w:val="00D10A4D"/>
    <w:rsid w:val="00D10A90"/>
    <w:rsid w:val="00D10D4B"/>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8B2"/>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3B8"/>
    <w:rsid w:val="00D64754"/>
    <w:rsid w:val="00D64790"/>
    <w:rsid w:val="00D65609"/>
    <w:rsid w:val="00D658B9"/>
    <w:rsid w:val="00D65C58"/>
    <w:rsid w:val="00D66D97"/>
    <w:rsid w:val="00D66EE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241"/>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AE5"/>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B7D1A"/>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51E"/>
    <w:rsid w:val="00DC6855"/>
    <w:rsid w:val="00DC6E29"/>
    <w:rsid w:val="00DC716E"/>
    <w:rsid w:val="00DC75E6"/>
    <w:rsid w:val="00DD1B10"/>
    <w:rsid w:val="00DD33F7"/>
    <w:rsid w:val="00DD3DF9"/>
    <w:rsid w:val="00DD4105"/>
    <w:rsid w:val="00DD44AA"/>
    <w:rsid w:val="00DD4798"/>
    <w:rsid w:val="00DD502C"/>
    <w:rsid w:val="00DD58FE"/>
    <w:rsid w:val="00DD5F39"/>
    <w:rsid w:val="00DD655B"/>
    <w:rsid w:val="00DE0260"/>
    <w:rsid w:val="00DE0E20"/>
    <w:rsid w:val="00DE1A20"/>
    <w:rsid w:val="00DE2285"/>
    <w:rsid w:val="00DE296E"/>
    <w:rsid w:val="00DE2D02"/>
    <w:rsid w:val="00DE33A3"/>
    <w:rsid w:val="00DE43F6"/>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2F90"/>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3ED3"/>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2B3"/>
    <w:rsid w:val="00E3464C"/>
    <w:rsid w:val="00E356F0"/>
    <w:rsid w:val="00E357B6"/>
    <w:rsid w:val="00E35CD0"/>
    <w:rsid w:val="00E365AF"/>
    <w:rsid w:val="00E3685C"/>
    <w:rsid w:val="00E37075"/>
    <w:rsid w:val="00E3784B"/>
    <w:rsid w:val="00E4050B"/>
    <w:rsid w:val="00E4233B"/>
    <w:rsid w:val="00E42B9B"/>
    <w:rsid w:val="00E432C5"/>
    <w:rsid w:val="00E43D80"/>
    <w:rsid w:val="00E441A5"/>
    <w:rsid w:val="00E44659"/>
    <w:rsid w:val="00E44F2B"/>
    <w:rsid w:val="00E452A6"/>
    <w:rsid w:val="00E4677A"/>
    <w:rsid w:val="00E46EA7"/>
    <w:rsid w:val="00E4796D"/>
    <w:rsid w:val="00E47CCB"/>
    <w:rsid w:val="00E50359"/>
    <w:rsid w:val="00E50622"/>
    <w:rsid w:val="00E50869"/>
    <w:rsid w:val="00E52644"/>
    <w:rsid w:val="00E5380E"/>
    <w:rsid w:val="00E53891"/>
    <w:rsid w:val="00E54002"/>
    <w:rsid w:val="00E541C9"/>
    <w:rsid w:val="00E54DEC"/>
    <w:rsid w:val="00E55416"/>
    <w:rsid w:val="00E5542F"/>
    <w:rsid w:val="00E557C7"/>
    <w:rsid w:val="00E55E14"/>
    <w:rsid w:val="00E562BB"/>
    <w:rsid w:val="00E5708F"/>
    <w:rsid w:val="00E61DED"/>
    <w:rsid w:val="00E62127"/>
    <w:rsid w:val="00E62C29"/>
    <w:rsid w:val="00E6468F"/>
    <w:rsid w:val="00E64DAD"/>
    <w:rsid w:val="00E6610F"/>
    <w:rsid w:val="00E66266"/>
    <w:rsid w:val="00E662D6"/>
    <w:rsid w:val="00E66397"/>
    <w:rsid w:val="00E6642C"/>
    <w:rsid w:val="00E67EC0"/>
    <w:rsid w:val="00E67FB9"/>
    <w:rsid w:val="00E70A04"/>
    <w:rsid w:val="00E70FFF"/>
    <w:rsid w:val="00E716E1"/>
    <w:rsid w:val="00E72043"/>
    <w:rsid w:val="00E72B95"/>
    <w:rsid w:val="00E738CB"/>
    <w:rsid w:val="00E73A1F"/>
    <w:rsid w:val="00E73E10"/>
    <w:rsid w:val="00E74128"/>
    <w:rsid w:val="00E74661"/>
    <w:rsid w:val="00E7481A"/>
    <w:rsid w:val="00E74B87"/>
    <w:rsid w:val="00E7582F"/>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C27"/>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683A"/>
    <w:rsid w:val="00EB7EBD"/>
    <w:rsid w:val="00EC0262"/>
    <w:rsid w:val="00EC1967"/>
    <w:rsid w:val="00EC2C55"/>
    <w:rsid w:val="00EC3220"/>
    <w:rsid w:val="00EC3A24"/>
    <w:rsid w:val="00EC3C1A"/>
    <w:rsid w:val="00EC3C52"/>
    <w:rsid w:val="00EC4202"/>
    <w:rsid w:val="00EC44D5"/>
    <w:rsid w:val="00EC4DD5"/>
    <w:rsid w:val="00EC5BD1"/>
    <w:rsid w:val="00ED08A2"/>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94A"/>
    <w:rsid w:val="00F12DB9"/>
    <w:rsid w:val="00F133AD"/>
    <w:rsid w:val="00F1373A"/>
    <w:rsid w:val="00F13A12"/>
    <w:rsid w:val="00F13ED4"/>
    <w:rsid w:val="00F14337"/>
    <w:rsid w:val="00F14781"/>
    <w:rsid w:val="00F1488B"/>
    <w:rsid w:val="00F149B9"/>
    <w:rsid w:val="00F154C2"/>
    <w:rsid w:val="00F15962"/>
    <w:rsid w:val="00F1596E"/>
    <w:rsid w:val="00F161F8"/>
    <w:rsid w:val="00F16466"/>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27D36"/>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7A2"/>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C6B"/>
    <w:rsid w:val="00F62DC6"/>
    <w:rsid w:val="00F63263"/>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233"/>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0BC7"/>
    <w:rsid w:val="00FE1721"/>
    <w:rsid w:val="00FE18D0"/>
    <w:rsid w:val="00FE1A14"/>
    <w:rsid w:val="00FE1F4E"/>
    <w:rsid w:val="00FE2404"/>
    <w:rsid w:val="00FE257E"/>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B32"/>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customStyle="1" w:styleId="EQChar">
    <w:name w:val="EQ Char"/>
    <w:link w:val="EQ"/>
    <w:qFormat/>
    <w:locked/>
    <w:rsid w:val="00480430"/>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144126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5710">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0689743">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4584036">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7512279">
      <w:bodyDiv w:val="1"/>
      <w:marLeft w:val="0"/>
      <w:marRight w:val="0"/>
      <w:marTop w:val="0"/>
      <w:marBottom w:val="0"/>
      <w:divBdr>
        <w:top w:val="none" w:sz="0" w:space="0" w:color="auto"/>
        <w:left w:val="none" w:sz="0" w:space="0" w:color="auto"/>
        <w:bottom w:val="none" w:sz="0" w:space="0" w:color="auto"/>
        <w:right w:val="none" w:sz="0" w:space="0" w:color="auto"/>
      </w:divBdr>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562575">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1928139">
      <w:bodyDiv w:val="1"/>
      <w:marLeft w:val="0"/>
      <w:marRight w:val="0"/>
      <w:marTop w:val="0"/>
      <w:marBottom w:val="0"/>
      <w:divBdr>
        <w:top w:val="none" w:sz="0" w:space="0" w:color="auto"/>
        <w:left w:val="none" w:sz="0" w:space="0" w:color="auto"/>
        <w:bottom w:val="none" w:sz="0" w:space="0" w:color="auto"/>
        <w:right w:val="none" w:sz="0" w:space="0" w:color="auto"/>
      </w:divBdr>
      <w:divsChild>
        <w:div w:id="1664042951">
          <w:marLeft w:val="0"/>
          <w:marRight w:val="0"/>
          <w:marTop w:val="0"/>
          <w:marBottom w:val="0"/>
          <w:divBdr>
            <w:top w:val="none" w:sz="0" w:space="0" w:color="auto"/>
            <w:left w:val="none" w:sz="0" w:space="0" w:color="auto"/>
            <w:bottom w:val="none" w:sz="0" w:space="0" w:color="auto"/>
            <w:right w:val="none" w:sz="0" w:space="0" w:color="auto"/>
          </w:divBdr>
          <w:divsChild>
            <w:div w:id="1527788240">
              <w:marLeft w:val="0"/>
              <w:marRight w:val="0"/>
              <w:marTop w:val="0"/>
              <w:marBottom w:val="0"/>
              <w:divBdr>
                <w:top w:val="none" w:sz="0" w:space="0" w:color="auto"/>
                <w:left w:val="none" w:sz="0" w:space="0" w:color="auto"/>
                <w:bottom w:val="none" w:sz="0" w:space="0" w:color="auto"/>
                <w:right w:val="none" w:sz="0" w:space="0" w:color="auto"/>
              </w:divBdr>
              <w:divsChild>
                <w:div w:id="1753042792">
                  <w:marLeft w:val="0"/>
                  <w:marRight w:val="0"/>
                  <w:marTop w:val="0"/>
                  <w:marBottom w:val="0"/>
                  <w:divBdr>
                    <w:top w:val="none" w:sz="0" w:space="0" w:color="auto"/>
                    <w:left w:val="none" w:sz="0" w:space="0" w:color="auto"/>
                    <w:bottom w:val="none" w:sz="0" w:space="0" w:color="auto"/>
                    <w:right w:val="none" w:sz="0" w:space="0" w:color="auto"/>
                  </w:divBdr>
                  <w:divsChild>
                    <w:div w:id="176561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6855426">
      <w:bodyDiv w:val="1"/>
      <w:marLeft w:val="0"/>
      <w:marRight w:val="0"/>
      <w:marTop w:val="0"/>
      <w:marBottom w:val="0"/>
      <w:divBdr>
        <w:top w:val="none" w:sz="0" w:space="0" w:color="auto"/>
        <w:left w:val="none" w:sz="0" w:space="0" w:color="auto"/>
        <w:bottom w:val="none" w:sz="0" w:space="0" w:color="auto"/>
        <w:right w:val="none" w:sz="0" w:space="0" w:color="auto"/>
      </w:divBdr>
      <w:divsChild>
        <w:div w:id="1720861092">
          <w:marLeft w:val="0"/>
          <w:marRight w:val="0"/>
          <w:marTop w:val="0"/>
          <w:marBottom w:val="0"/>
          <w:divBdr>
            <w:top w:val="none" w:sz="0" w:space="0" w:color="auto"/>
            <w:left w:val="none" w:sz="0" w:space="0" w:color="auto"/>
            <w:bottom w:val="none" w:sz="0" w:space="0" w:color="auto"/>
            <w:right w:val="none" w:sz="0" w:space="0" w:color="auto"/>
          </w:divBdr>
          <w:divsChild>
            <w:div w:id="1341589884">
              <w:marLeft w:val="0"/>
              <w:marRight w:val="0"/>
              <w:marTop w:val="0"/>
              <w:marBottom w:val="0"/>
              <w:divBdr>
                <w:top w:val="none" w:sz="0" w:space="0" w:color="auto"/>
                <w:left w:val="none" w:sz="0" w:space="0" w:color="auto"/>
                <w:bottom w:val="none" w:sz="0" w:space="0" w:color="auto"/>
                <w:right w:val="none" w:sz="0" w:space="0" w:color="auto"/>
              </w:divBdr>
              <w:divsChild>
                <w:div w:id="114905613">
                  <w:marLeft w:val="0"/>
                  <w:marRight w:val="0"/>
                  <w:marTop w:val="0"/>
                  <w:marBottom w:val="0"/>
                  <w:divBdr>
                    <w:top w:val="none" w:sz="0" w:space="0" w:color="auto"/>
                    <w:left w:val="none" w:sz="0" w:space="0" w:color="auto"/>
                    <w:bottom w:val="none" w:sz="0" w:space="0" w:color="auto"/>
                    <w:right w:val="none" w:sz="0" w:space="0" w:color="auto"/>
                  </w:divBdr>
                  <w:divsChild>
                    <w:div w:id="193994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71584255">
      <w:bodyDiv w:val="1"/>
      <w:marLeft w:val="0"/>
      <w:marRight w:val="0"/>
      <w:marTop w:val="0"/>
      <w:marBottom w:val="0"/>
      <w:divBdr>
        <w:top w:val="none" w:sz="0" w:space="0" w:color="auto"/>
        <w:left w:val="none" w:sz="0" w:space="0" w:color="auto"/>
        <w:bottom w:val="none" w:sz="0" w:space="0" w:color="auto"/>
        <w:right w:val="none" w:sz="0" w:space="0" w:color="auto"/>
      </w:divBdr>
      <w:divsChild>
        <w:div w:id="789591263">
          <w:marLeft w:val="0"/>
          <w:marRight w:val="0"/>
          <w:marTop w:val="0"/>
          <w:marBottom w:val="0"/>
          <w:divBdr>
            <w:top w:val="none" w:sz="0" w:space="0" w:color="auto"/>
            <w:left w:val="none" w:sz="0" w:space="0" w:color="auto"/>
            <w:bottom w:val="none" w:sz="0" w:space="0" w:color="auto"/>
            <w:right w:val="none" w:sz="0" w:space="0" w:color="auto"/>
          </w:divBdr>
          <w:divsChild>
            <w:div w:id="1882012804">
              <w:marLeft w:val="0"/>
              <w:marRight w:val="0"/>
              <w:marTop w:val="0"/>
              <w:marBottom w:val="0"/>
              <w:divBdr>
                <w:top w:val="none" w:sz="0" w:space="0" w:color="auto"/>
                <w:left w:val="none" w:sz="0" w:space="0" w:color="auto"/>
                <w:bottom w:val="none" w:sz="0" w:space="0" w:color="auto"/>
                <w:right w:val="none" w:sz="0" w:space="0" w:color="auto"/>
              </w:divBdr>
              <w:divsChild>
                <w:div w:id="1068966757">
                  <w:marLeft w:val="0"/>
                  <w:marRight w:val="0"/>
                  <w:marTop w:val="0"/>
                  <w:marBottom w:val="0"/>
                  <w:divBdr>
                    <w:top w:val="none" w:sz="0" w:space="0" w:color="auto"/>
                    <w:left w:val="none" w:sz="0" w:space="0" w:color="auto"/>
                    <w:bottom w:val="none" w:sz="0" w:space="0" w:color="auto"/>
                    <w:right w:val="none" w:sz="0" w:space="0" w:color="auto"/>
                  </w:divBdr>
                  <w:divsChild>
                    <w:div w:id="15473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56154738">
      <w:bodyDiv w:val="1"/>
      <w:marLeft w:val="0"/>
      <w:marRight w:val="0"/>
      <w:marTop w:val="0"/>
      <w:marBottom w:val="0"/>
      <w:divBdr>
        <w:top w:val="none" w:sz="0" w:space="0" w:color="auto"/>
        <w:left w:val="none" w:sz="0" w:space="0" w:color="auto"/>
        <w:bottom w:val="none" w:sz="0" w:space="0" w:color="auto"/>
        <w:right w:val="none" w:sz="0" w:space="0" w:color="auto"/>
      </w:divBdr>
      <w:divsChild>
        <w:div w:id="1512186602">
          <w:marLeft w:val="0"/>
          <w:marRight w:val="0"/>
          <w:marTop w:val="0"/>
          <w:marBottom w:val="0"/>
          <w:divBdr>
            <w:top w:val="none" w:sz="0" w:space="0" w:color="auto"/>
            <w:left w:val="none" w:sz="0" w:space="0" w:color="auto"/>
            <w:bottom w:val="none" w:sz="0" w:space="0" w:color="auto"/>
            <w:right w:val="none" w:sz="0" w:space="0" w:color="auto"/>
          </w:divBdr>
          <w:divsChild>
            <w:div w:id="1943341916">
              <w:marLeft w:val="0"/>
              <w:marRight w:val="0"/>
              <w:marTop w:val="0"/>
              <w:marBottom w:val="0"/>
              <w:divBdr>
                <w:top w:val="none" w:sz="0" w:space="0" w:color="auto"/>
                <w:left w:val="none" w:sz="0" w:space="0" w:color="auto"/>
                <w:bottom w:val="none" w:sz="0" w:space="0" w:color="auto"/>
                <w:right w:val="none" w:sz="0" w:space="0" w:color="auto"/>
              </w:divBdr>
              <w:divsChild>
                <w:div w:id="937179790">
                  <w:marLeft w:val="0"/>
                  <w:marRight w:val="0"/>
                  <w:marTop w:val="0"/>
                  <w:marBottom w:val="0"/>
                  <w:divBdr>
                    <w:top w:val="none" w:sz="0" w:space="0" w:color="auto"/>
                    <w:left w:val="none" w:sz="0" w:space="0" w:color="auto"/>
                    <w:bottom w:val="none" w:sz="0" w:space="0" w:color="auto"/>
                    <w:right w:val="none" w:sz="0" w:space="0" w:color="auto"/>
                  </w:divBdr>
                  <w:divsChild>
                    <w:div w:id="80219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6396998">
      <w:bodyDiv w:val="1"/>
      <w:marLeft w:val="0"/>
      <w:marRight w:val="0"/>
      <w:marTop w:val="0"/>
      <w:marBottom w:val="0"/>
      <w:divBdr>
        <w:top w:val="none" w:sz="0" w:space="0" w:color="auto"/>
        <w:left w:val="none" w:sz="0" w:space="0" w:color="auto"/>
        <w:bottom w:val="none" w:sz="0" w:space="0" w:color="auto"/>
        <w:right w:val="none" w:sz="0" w:space="0" w:color="auto"/>
      </w:divBdr>
      <w:divsChild>
        <w:div w:id="2127658219">
          <w:marLeft w:val="0"/>
          <w:marRight w:val="0"/>
          <w:marTop w:val="0"/>
          <w:marBottom w:val="0"/>
          <w:divBdr>
            <w:top w:val="none" w:sz="0" w:space="0" w:color="auto"/>
            <w:left w:val="none" w:sz="0" w:space="0" w:color="auto"/>
            <w:bottom w:val="none" w:sz="0" w:space="0" w:color="auto"/>
            <w:right w:val="none" w:sz="0" w:space="0" w:color="auto"/>
          </w:divBdr>
          <w:divsChild>
            <w:div w:id="277419870">
              <w:marLeft w:val="0"/>
              <w:marRight w:val="0"/>
              <w:marTop w:val="0"/>
              <w:marBottom w:val="0"/>
              <w:divBdr>
                <w:top w:val="none" w:sz="0" w:space="0" w:color="auto"/>
                <w:left w:val="none" w:sz="0" w:space="0" w:color="auto"/>
                <w:bottom w:val="none" w:sz="0" w:space="0" w:color="auto"/>
                <w:right w:val="none" w:sz="0" w:space="0" w:color="auto"/>
              </w:divBdr>
              <w:divsChild>
                <w:div w:id="211898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5</Pages>
  <Words>1787</Words>
  <Characters>10188</Characters>
  <Application>Microsoft Office Word</Application>
  <DocSecurity>0</DocSecurity>
  <Lines>84</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3</cp:revision>
  <cp:lastPrinted>2016-08-05T18:54:00Z</cp:lastPrinted>
  <dcterms:created xsi:type="dcterms:W3CDTF">2024-04-01T23:57:00Z</dcterms:created>
  <dcterms:modified xsi:type="dcterms:W3CDTF">2024-04-08T17:26:00Z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